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caps w:val="0"/>
          <w:smallCaps w:val="0"/>
          <w:strike w:val="0"/>
          <w:dstrike w:val="0"/>
          <w:snapToGrid/>
          <w:vanish w:val="0"/>
          <w:spacing w:val="0"/>
          <w:w w:val="100"/>
          <w:kern w:val="0"/>
          <w:position w:val="0"/>
          <w:sz w:val="32"/>
          <w:u w:val="none" w:color="000000"/>
          <w:lang w:eastAsia="zh-CN"/>
        </w:rPr>
      </w:pPr>
      <w:r>
        <w:rPr>
          <w:rFonts w:hint="eastAsia" w:ascii="黑体" w:hAnsi="黑体" w:eastAsia="黑体" w:cs="黑体"/>
          <w:b/>
          <w:bCs/>
          <w:i w:val="0"/>
          <w:caps w:val="0"/>
          <w:smallCaps w:val="0"/>
          <w:strike w:val="0"/>
          <w:dstrike w:val="0"/>
          <w:snapToGrid/>
          <w:vanish w:val="0"/>
          <w:spacing w:val="0"/>
          <w:w w:val="100"/>
          <w:kern w:val="0"/>
          <w:position w:val="0"/>
          <w:sz w:val="32"/>
          <w:u w:val="none" w:color="000000"/>
          <w:lang w:eastAsia="zh-CN"/>
        </w:rPr>
        <w:t>2</w:t>
      </w:r>
      <w:r>
        <w:rPr>
          <w:rFonts w:hint="eastAsia" w:ascii="黑体" w:hAnsi="黑体" w:eastAsia="黑体" w:cs="黑体"/>
          <w:b/>
          <w:bCs/>
          <w:i w:val="0"/>
          <w:caps w:val="0"/>
          <w:smallCaps w:val="0"/>
          <w:strike w:val="0"/>
          <w:dstrike w:val="0"/>
          <w:snapToGrid/>
          <w:vanish w:val="0"/>
          <w:spacing w:val="0"/>
          <w:w w:val="100"/>
          <w:kern w:val="0"/>
          <w:position w:val="0"/>
          <w:sz w:val="32"/>
          <w:u w:val="none" w:color="000000"/>
          <w:lang w:val="en-US" w:eastAsia="zh-CN"/>
        </w:rPr>
        <w:t>020</w:t>
      </w:r>
      <w:r>
        <w:rPr>
          <w:rFonts w:hint="eastAsia" w:ascii="黑体" w:hAnsi="黑体" w:eastAsia="黑体" w:cs="黑体"/>
          <w:b/>
          <w:bCs/>
          <w:i w:val="0"/>
          <w:caps w:val="0"/>
          <w:smallCaps w:val="0"/>
          <w:strike w:val="0"/>
          <w:dstrike w:val="0"/>
          <w:snapToGrid/>
          <w:vanish w:val="0"/>
          <w:spacing w:val="0"/>
          <w:w w:val="100"/>
          <w:kern w:val="0"/>
          <w:position w:val="0"/>
          <w:sz w:val="32"/>
          <w:u w:val="none" w:color="000000"/>
          <w:lang w:eastAsia="zh-CN"/>
        </w:rPr>
        <w:t>年全国公</w:t>
      </w:r>
      <w:bookmarkStart w:id="0" w:name="_GoBack"/>
      <w:bookmarkEnd w:id="0"/>
      <w:r>
        <w:rPr>
          <w:rFonts w:hint="eastAsia" w:ascii="黑体" w:hAnsi="黑体" w:eastAsia="黑体" w:cs="黑体"/>
          <w:b/>
          <w:bCs/>
          <w:i w:val="0"/>
          <w:caps w:val="0"/>
          <w:smallCaps w:val="0"/>
          <w:strike w:val="0"/>
          <w:dstrike w:val="0"/>
          <w:snapToGrid/>
          <w:vanish w:val="0"/>
          <w:spacing w:val="0"/>
          <w:w w:val="100"/>
          <w:kern w:val="0"/>
          <w:position w:val="0"/>
          <w:sz w:val="32"/>
          <w:u w:val="none" w:color="000000"/>
          <w:lang w:eastAsia="zh-CN"/>
        </w:rPr>
        <w:t>路建设市场监管及造价管理检查问题清单</w:t>
      </w:r>
    </w:p>
    <w:tbl>
      <w:tblPr>
        <w:tblStyle w:val="3"/>
        <w:tblW w:w="13982"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252"/>
        <w:gridCol w:w="1837"/>
        <w:gridCol w:w="2325"/>
        <w:gridCol w:w="1909"/>
        <w:gridCol w:w="596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696" w:type="dxa"/>
            <w:tcBorders>
              <w:tl2br w:val="nil"/>
              <w:tr2bl w:val="nil"/>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252" w:type="dxa"/>
            <w:tcBorders>
              <w:tl2br w:val="nil"/>
              <w:tr2bl w:val="nil"/>
            </w:tcBorders>
            <w:shd w:val="clear" w:color="auto" w:fill="auto"/>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问题类型</w:t>
            </w:r>
          </w:p>
        </w:tc>
        <w:tc>
          <w:tcPr>
            <w:tcW w:w="1837" w:type="dxa"/>
            <w:tcBorders>
              <w:tl2br w:val="nil"/>
              <w:tr2bl w:val="nil"/>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省（区、市）</w:t>
            </w:r>
          </w:p>
        </w:tc>
        <w:tc>
          <w:tcPr>
            <w:tcW w:w="2325" w:type="dxa"/>
            <w:tcBorders>
              <w:tl2br w:val="nil"/>
              <w:tr2bl w:val="nil"/>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1909" w:type="dxa"/>
            <w:tcBorders>
              <w:tl2br w:val="nil"/>
              <w:tr2bl w:val="nil"/>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建设单位</w:t>
            </w:r>
          </w:p>
        </w:tc>
        <w:tc>
          <w:tcPr>
            <w:tcW w:w="5963" w:type="dxa"/>
            <w:tcBorders>
              <w:tl2br w:val="nil"/>
              <w:tr2bl w:val="nil"/>
            </w:tcBorders>
            <w:shd w:val="clear" w:color="auto" w:fill="FFFFFF"/>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行为描述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基本建设程序方面</w:t>
            </w:r>
          </w:p>
        </w:tc>
        <w:tc>
          <w:tcPr>
            <w:tcW w:w="183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项目路基、隧道工程实际于2018年7月开工，浏阳市交通运输局于2018年8月批复施工许可，项目至今未取得全部建设用地批复，不符合基本建设程序要求。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项目于2019年1月全线开工，质量监督申请时间为2020年7月，至今未办理施工许可手续，不符合基本建设程序要求。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项目于2017年8月开工，施工许可时间为2020年7月，不符合基本建设程序要求。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696" w:type="dxa"/>
            <w:tcBorders>
              <w:tl2br w:val="nil"/>
              <w:tr2bl w:val="nil"/>
            </w:tcBorders>
            <w:noWrap w:val="0"/>
            <w:tcMar>
              <w:top w:w="12" w:type="dxa"/>
              <w:left w:w="12" w:type="dxa"/>
              <w:right w:w="12" w:type="dxa"/>
            </w:tcMar>
            <w:vAlign w:val="center"/>
          </w:tcPr>
          <w:p>
            <w:r>
              <w:rPr>
                <w:rFonts w:hint="eastAsia" w:ascii="宋体" w:hAnsi="宋体" w:eastAsia="宋体" w:cs="宋体"/>
                <w:i w:val="0"/>
                <w:color w:val="000000"/>
                <w:kern w:val="0"/>
                <w:sz w:val="20"/>
                <w:szCs w:val="20"/>
                <w:u w:val="none"/>
                <w:lang w:val="en-US" w:eastAsia="zh-CN" w:bidi="ar"/>
              </w:rPr>
              <w:t>4</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S32临夏至大河家高速公路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甘肃路桥公路投资有限公司</w:t>
            </w:r>
          </w:p>
        </w:tc>
        <w:tc>
          <w:tcPr>
            <w:tcW w:w="5963" w:type="dxa"/>
            <w:tcBorders>
              <w:tl2br w:val="nil"/>
              <w:tr2bl w:val="nil"/>
            </w:tcBorders>
            <w:noWrap w:val="0"/>
            <w:tcMar>
              <w:top w:w="12" w:type="dxa"/>
              <w:left w:w="12" w:type="dxa"/>
              <w:right w:w="12" w:type="dxa"/>
            </w:tcMar>
            <w:vAlign w:val="center"/>
          </w:tcPr>
          <w:p>
            <w:r>
              <w:rPr>
                <w:rFonts w:hint="eastAsia" w:ascii="宋体" w:hAnsi="宋体" w:cs="宋体"/>
                <w:color w:val="000000"/>
                <w:kern w:val="0"/>
                <w:sz w:val="20"/>
                <w:lang w:val="en-US" w:eastAsia="zh-CN" w:bidi="ar"/>
              </w:rPr>
              <w:t>项目控制性工程于2019年9月19日开工，至今未办理施工许可，项目基本建设程序不规范。</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ascii="宋体" w:hAnsi="宋体" w:cs="宋体"/>
                <w:color w:val="000000"/>
                <w:kern w:val="0"/>
                <w:sz w:val="20"/>
                <w:lang w:val="en-US" w:eastAsia="zh-CN" w:bidi="ar"/>
              </w:rPr>
              <w:t>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项目控制性工程监理单位于2019年9月19日下达开工令，质量监督手续于2019年11月29日才办理，项目基本建设程序不规范。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S104兰州（沈家坡）至阿干镇公路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甘肃公航旅兰阿公路管理有限公司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项目于2020年5月开工，至今未办理施工许可，项目基本建设程序不规范。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96" w:hRule="atLeast"/>
        </w:trPr>
        <w:tc>
          <w:tcPr>
            <w:tcW w:w="696" w:type="dxa"/>
            <w:tcBorders>
              <w:tl2br w:val="nil"/>
              <w:tr2bl w:val="nil"/>
            </w:tcBorders>
            <w:noWrap w:val="0"/>
            <w:tcMar>
              <w:top w:w="12" w:type="dxa"/>
              <w:left w:w="12" w:type="dxa"/>
              <w:right w:w="12" w:type="dxa"/>
            </w:tcMar>
            <w:vAlign w:val="center"/>
          </w:tcPr>
          <w:p>
            <w:r>
              <w:rPr>
                <w:rFonts w:hint="eastAsia" w:ascii="宋体" w:hAnsi="宋体" w:cs="宋体"/>
                <w:i w:val="0"/>
                <w:color w:val="000000"/>
                <w:kern w:val="0"/>
                <w:sz w:val="20"/>
                <w:szCs w:val="20"/>
                <w:u w:val="none"/>
                <w:lang w:val="en-US" w:eastAsia="zh-CN" w:bidi="ar"/>
              </w:rPr>
              <w:t>7</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G329北仑富春江路至陈华段改建工程一期</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宁波市北仑区路港交通投资有限公司</w:t>
            </w:r>
          </w:p>
        </w:tc>
        <w:tc>
          <w:tcPr>
            <w:tcW w:w="5963" w:type="dxa"/>
            <w:tcBorders>
              <w:tl2br w:val="nil"/>
              <w:tr2bl w:val="nil"/>
            </w:tcBorders>
            <w:noWrap w:val="0"/>
            <w:tcMar>
              <w:top w:w="12" w:type="dxa"/>
              <w:left w:w="12" w:type="dxa"/>
              <w:right w:w="12" w:type="dxa"/>
            </w:tcMar>
            <w:vAlign w:val="center"/>
          </w:tcPr>
          <w:p>
            <w:pPr>
              <w:widowControl/>
              <w:spacing w:line="360" w:lineRule="exact"/>
              <w:jc w:val="left"/>
              <w:textAlignment w:val="center"/>
              <w:rPr>
                <w:rFonts w:hint="eastAsia"/>
              </w:rPr>
            </w:pPr>
            <w:r>
              <w:rPr>
                <w:rFonts w:hint="eastAsia" w:ascii="宋体" w:hAnsi="宋体" w:cs="宋体"/>
                <w:color w:val="000000"/>
                <w:kern w:val="0"/>
                <w:sz w:val="20"/>
                <w:lang w:val="en-US" w:eastAsia="zh-CN" w:bidi="ar"/>
              </w:rPr>
              <w:t>招标文件编制不规范，招标时未采用《公路工程标准施工招标文件》（2018年版）。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696" w:type="dxa"/>
            <w:tcBorders>
              <w:tl2br w:val="nil"/>
              <w:tr2bl w:val="nil"/>
            </w:tcBorders>
            <w:noWrap w:val="0"/>
            <w:tcMar>
              <w:top w:w="12" w:type="dxa"/>
              <w:left w:w="12" w:type="dxa"/>
              <w:right w:w="12" w:type="dxa"/>
            </w:tcMar>
            <w:vAlign w:val="center"/>
          </w:tcPr>
          <w:p>
            <w:pPr>
              <w:widowControl/>
              <w:spacing w:line="360" w:lineRule="exact"/>
              <w:jc w:val="center"/>
              <w:textAlignment w:val="center"/>
              <w:rPr>
                <w:rFonts w:hint="eastAsia" w:eastAsia="宋体"/>
                <w:lang w:val="en-US" w:eastAsia="zh-CN"/>
              </w:rPr>
            </w:pPr>
            <w:r>
              <w:rPr>
                <w:rFonts w:hint="eastAsia" w:ascii="宋体" w:hAnsi="宋体" w:cs="宋体"/>
                <w:color w:val="000000"/>
                <w:kern w:val="0"/>
                <w:sz w:val="20"/>
                <w:lang w:val="en-US" w:eastAsia="zh-CN" w:bidi="ar"/>
              </w:rPr>
              <w:t>8</w:t>
            </w:r>
          </w:p>
        </w:tc>
        <w:tc>
          <w:tcPr>
            <w:tcW w:w="1252"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widowControl/>
              <w:spacing w:line="360" w:lineRule="exact"/>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招标公告发布不规范</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施工、施工监理招标公告仅发布在宁波市公共资源交易网</w:t>
            </w:r>
            <w:r>
              <w:rPr>
                <w:rFonts w:hint="eastAsia" w:ascii="宋体" w:hAnsi="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雁湖路（机场路至环镇路段）改建工程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鄞州区交通运输局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0"/>
                <w:u w:val="none"/>
                <w:lang w:val="en-US" w:eastAsia="zh-CN" w:bidi="ar"/>
              </w:rPr>
              <w:t>招标文件编制不规范，招标时未采用《公路工程标准施工招标文件》（2018年版）。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eastAsia="宋体"/>
                <w:lang w:val="en-US" w:eastAsia="zh-CN"/>
              </w:rPr>
            </w:pPr>
            <w:r>
              <w:rPr>
                <w:rFonts w:hint="default" w:ascii="宋体" w:hAnsi="宋体" w:cs="宋体"/>
                <w:color w:val="000000"/>
                <w:sz w:val="20"/>
                <w:lang w:val="en-US" w:eastAsia="zh-CN"/>
              </w:rPr>
              <w:t>10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招标公告发布不规范</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施工、施工监理招标公告仅在宁波市鄞州区公共资源交易中心网站和鄞州日报发布。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rPr>
        <w:tc>
          <w:tcPr>
            <w:tcW w:w="696" w:type="dxa"/>
            <w:tcBorders>
              <w:tl2br w:val="nil"/>
              <w:tr2bl w:val="nil"/>
            </w:tcBorders>
            <w:noWrap w:val="0"/>
            <w:tcMar>
              <w:top w:w="12" w:type="dxa"/>
              <w:left w:w="12" w:type="dxa"/>
              <w:right w:w="12" w:type="dxa"/>
            </w:tcMar>
            <w:vAlign w:val="center"/>
          </w:tcPr>
          <w:p>
            <w:r>
              <w:rPr>
                <w:rFonts w:hint="default" w:ascii="宋体" w:hAnsi="宋体" w:cs="宋体"/>
                <w:i w:val="0"/>
                <w:color w:val="000000"/>
                <w:kern w:val="2"/>
                <w:sz w:val="20"/>
                <w:szCs w:val="22"/>
                <w:u w:val="none"/>
                <w:lang w:val="en-US" w:eastAsia="zh-CN" w:bidi="ar"/>
              </w:rPr>
              <w:t>11</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rPr>
            </w:pP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r>
              <w:rPr>
                <w:rFonts w:hint="eastAsia" w:ascii="宋体" w:hAnsi="宋体" w:cs="宋体"/>
                <w:color w:val="000000"/>
                <w:kern w:val="0"/>
                <w:sz w:val="20"/>
                <w:szCs w:val="22"/>
                <w:lang w:val="en-US" w:eastAsia="zh-CN" w:bidi="ar"/>
              </w:rPr>
              <w:t>评标专家抽取存在缺陷，施工标连续3天3批评标专家名单中，有1名专家被抽中3次、2名专家被抽中2次。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2"/>
                <w:sz w:val="20"/>
                <w:szCs w:val="22"/>
                <w:u w:val="none"/>
                <w:lang w:val="en-US" w:eastAsia="zh-CN" w:bidi="ar"/>
              </w:rPr>
            </w:pPr>
            <w:r>
              <w:rPr>
                <w:rFonts w:hint="default" w:ascii="宋体" w:hAnsi="宋体" w:cs="宋体"/>
                <w:i w:val="0"/>
                <w:color w:val="000000"/>
                <w:kern w:val="2"/>
                <w:sz w:val="20"/>
                <w:szCs w:val="22"/>
                <w:u w:val="none"/>
                <w:lang w:val="en-US" w:eastAsia="zh-CN" w:bidi="ar"/>
              </w:rPr>
              <w:t>12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TJ04、TJ08标合同签订不规范，合同所附谈判纪要重新约定了部分改变招标文件实质性内容的条款，如对履约保证金和质量保证金的规定与招标文件不一致。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default" w:ascii="宋体" w:hAnsi="宋体" w:cs="宋体"/>
                <w:i w:val="0"/>
                <w:color w:val="000000"/>
                <w:kern w:val="2"/>
                <w:sz w:val="20"/>
                <w:szCs w:val="22"/>
                <w:u w:val="none"/>
                <w:lang w:val="en-US" w:eastAsia="zh-CN" w:bidi="ar"/>
              </w:rPr>
              <w:t>13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高升庙至源树农村通组公路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浏阳市农村公路管理局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浏阳市农村公路三年行动建设项目监理招标（第二次）公告发布时间为2016年10月24日，投标截止时间为2016年11月3日。</w:t>
            </w:r>
            <w:r>
              <w:rPr>
                <w:rFonts w:hint="eastAsia" w:ascii="宋体" w:hAnsi="宋体" w:cs="宋体"/>
                <w:i w:val="0"/>
                <w:color w:val="000000"/>
                <w:kern w:val="0"/>
                <w:sz w:val="20"/>
                <w:szCs w:val="20"/>
                <w:u w:val="none"/>
                <w:lang w:val="en-US" w:eastAsia="zh-CN" w:bidi="ar"/>
              </w:rPr>
              <w:t>不符合《中华人民共和国招标投标法》第五十九条规定。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eastAsia" w:ascii="宋体" w:hAnsi="宋体" w:cs="宋体"/>
                <w:i w:val="0"/>
                <w:color w:val="000000"/>
                <w:kern w:val="2"/>
                <w:sz w:val="20"/>
                <w:szCs w:val="22"/>
                <w:u w:val="none"/>
                <w:lang w:val="en-US" w:eastAsia="zh-CN" w:bidi="ar"/>
              </w:rPr>
              <w:t>14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《云南省公路水运工程建设项目招标投标随机抽取确定投标标段方法（试行）》（云交基建〔2013〕444号）关于同一母公司的子公司不能在同一标段投标等规定</w:t>
            </w:r>
            <w:r>
              <w:rPr>
                <w:rFonts w:hint="eastAsia" w:ascii="宋体" w:hAnsi="宋体" w:cs="宋体"/>
                <w:i w:val="0"/>
                <w:color w:val="000000"/>
                <w:kern w:val="0"/>
                <w:sz w:val="20"/>
                <w:szCs w:val="20"/>
                <w:u w:val="none"/>
                <w:lang w:val="en-US" w:eastAsia="zh-CN" w:bidi="ar"/>
              </w:rPr>
              <w:t>，不符合《中华人民共和国招标投标法实施条例》《公路建设项目招标投标管理办法》（交通运输部令2015年底24号）有关规定。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eastAsia" w:ascii="宋体" w:hAnsi="宋体" w:cs="宋体"/>
                <w:i w:val="0"/>
                <w:color w:val="000000"/>
                <w:kern w:val="2"/>
                <w:sz w:val="20"/>
                <w:szCs w:val="22"/>
                <w:u w:val="none"/>
                <w:lang w:val="en-US" w:eastAsia="zh-CN" w:bidi="ar"/>
              </w:rPr>
              <w:t>15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勘察设计招标文件对设计周期要求过短（初步设计40天、施工图设计50天）</w:t>
            </w:r>
            <w:r>
              <w:rPr>
                <w:rFonts w:hint="eastAsia" w:ascii="宋体" w:hAnsi="宋体" w:cs="宋体"/>
                <w:i w:val="0"/>
                <w:color w:val="000000"/>
                <w:kern w:val="0"/>
                <w:sz w:val="20"/>
                <w:szCs w:val="20"/>
                <w:u w:val="none"/>
                <w:lang w:val="en-US" w:eastAsia="zh-CN" w:bidi="ar"/>
              </w:rPr>
              <w:t>，不符合《关于进一步加强公路勘察设计工作的若干意见》（交公路发</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2011</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504号）第四条规定</w:t>
            </w:r>
            <w:r>
              <w:rPr>
                <w:rFonts w:hint="eastAsia" w:ascii="宋体" w:hAnsi="宋体" w:eastAsia="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eastAsia" w:ascii="宋体" w:hAnsi="宋体" w:cs="宋体"/>
                <w:i w:val="0"/>
                <w:color w:val="000000"/>
                <w:kern w:val="2"/>
                <w:sz w:val="20"/>
                <w:szCs w:val="22"/>
                <w:u w:val="none"/>
                <w:lang w:val="en-US" w:eastAsia="zh-CN" w:bidi="ar"/>
              </w:rPr>
              <w:t>16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勘察设计招标文件和监理招标文件中对设计分项负责人、其他主要监理人员等其他人员同样提出强制性资格条件要求，并要求在投标阶段填报</w:t>
            </w:r>
            <w:r>
              <w:rPr>
                <w:rFonts w:hint="eastAsia" w:ascii="宋体" w:hAnsi="宋体" w:cs="宋体"/>
                <w:i w:val="0"/>
                <w:color w:val="000000"/>
                <w:kern w:val="0"/>
                <w:sz w:val="20"/>
                <w:szCs w:val="20"/>
                <w:u w:val="none"/>
                <w:lang w:val="en-US" w:eastAsia="zh-CN" w:bidi="ar"/>
              </w:rPr>
              <w:t>，不符合《公路建设项目招标投标管理办法》（交通运输部令2015年底24号）第二十二条规定</w:t>
            </w:r>
            <w:r>
              <w:rPr>
                <w:rFonts w:hint="eastAsia" w:ascii="宋体" w:hAnsi="宋体" w:eastAsia="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eastAsia" w:ascii="宋体" w:hAnsi="宋体" w:cs="宋体"/>
                <w:i w:val="0"/>
                <w:color w:val="000000"/>
                <w:kern w:val="2"/>
                <w:sz w:val="20"/>
                <w:szCs w:val="22"/>
                <w:u w:val="none"/>
                <w:lang w:val="en-US" w:eastAsia="zh-CN" w:bidi="ar"/>
              </w:rPr>
              <w:t>17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投资人招标资格预审评审在计算得分时，未去掉最高和最低值，不符合资格预审文件要求。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eastAsia" w:ascii="宋体" w:hAnsi="宋体" w:cs="宋体"/>
                <w:i w:val="0"/>
                <w:color w:val="000000"/>
                <w:kern w:val="2"/>
                <w:sz w:val="20"/>
                <w:szCs w:val="22"/>
                <w:u w:val="none"/>
                <w:lang w:val="en-US" w:eastAsia="zh-CN" w:bidi="ar"/>
              </w:rPr>
              <w:t>18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投资人招标文件规定的竞争因素（如折现率、利润率、基本交通量）未在招标文件中明确，在开标现场才公布，导致相关投标人因此被否决了投标资格。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eastAsia" w:ascii="宋体" w:hAnsi="宋体" w:cs="宋体"/>
                <w:i w:val="0"/>
                <w:color w:val="000000"/>
                <w:kern w:val="2"/>
                <w:sz w:val="20"/>
                <w:szCs w:val="22"/>
                <w:u w:val="none"/>
                <w:lang w:val="en-US" w:eastAsia="zh-CN" w:bidi="ar"/>
              </w:rPr>
              <w:t>19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设计、施工及监理招标的评标报告无评标专家的个人打分表，评标报告不完整。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2"/>
                <w:u w:val="none"/>
                <w:lang w:bidi="ar"/>
              </w:rPr>
            </w:pPr>
            <w:r>
              <w:rPr>
                <w:rFonts w:hint="eastAsia" w:ascii="宋体" w:hAnsi="宋体" w:cs="宋体"/>
                <w:i w:val="0"/>
                <w:color w:val="000000"/>
                <w:kern w:val="2"/>
                <w:sz w:val="20"/>
                <w:szCs w:val="22"/>
                <w:u w:val="none"/>
                <w:lang w:val="en-US" w:eastAsia="zh-CN" w:bidi="ar"/>
              </w:rPr>
              <w:t>20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玉溪市澄江市海口至新村农村公路通畅工程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澄江县公路公司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连续3次评标所抽取的7名专家，有5名被连续抽中，澄江县公共资源交易中心评标专家抽取存在缺陷。</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5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施工招标采用综合评分法</w:t>
            </w:r>
            <w:r>
              <w:rPr>
                <w:rFonts w:hint="eastAsia" w:ascii="宋体" w:hAnsi="宋体" w:cs="宋体"/>
                <w:i w:val="0"/>
                <w:color w:val="000000"/>
                <w:kern w:val="0"/>
                <w:sz w:val="20"/>
                <w:szCs w:val="20"/>
                <w:u w:val="none"/>
                <w:lang w:val="en-US" w:eastAsia="zh-CN" w:bidi="ar"/>
              </w:rPr>
              <w:t>，不符合《公路建设项目招标投标管理办法》（交通运输部令2015年底24号）第四十四条规定</w:t>
            </w:r>
            <w:r>
              <w:rPr>
                <w:rFonts w:hint="eastAsia" w:ascii="宋体" w:hAnsi="宋体" w:eastAsia="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9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S32临夏至大河家高速公路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甘肃路桥公路投资有限公司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招标资格条件设置不合理，招标文件中设定的投标人资质、业绩等资格条件偏高，并要求出具履约保函的担保机构为“注册资金在10亿元以上的国有担保公司”。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未按批复组织招标，工可批复招标组织形式为委托招标，实际实施为自行招标。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S104兰州（沈家坡）至阿干镇公路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甘肃公航旅兰阿公路管理有限公司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招标资格条件设置不合理，招标文件中设定的投标人资质、业绩等资格条件偏高，并要求出具履约保函的担保机构为“注册资金在10亿元以上的国有担保公司”。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X040广河县对康至槐山顶公路改建工程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广河县交通运输局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招标资格条件设置不合理，招标文件对省内外企业设置的资格条件要求不一致。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2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合同签订不合规，招标文件采用《公路工程标准施工招标文件》（2018版）合同条款，但实际签署的合同采用住房城乡建设部《建设工程合同示范文本》，采用合同范本有误。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27</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合同履约方面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宁波舟山港主通道工程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浙江舟山北向大通道有限公司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施工三标中交路桥建设有限公司主要管理人员更换率高，13人中更换7人，更换率53%。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施工一标浙江交工集团专业分包管理不规范，路基专业分包单位成都胜轩建筑劳务有限公司和浙江中特建设有限公司，不具备公路路基专业承包资质。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5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G329北仑富春江路至陈华段改建工程一期</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宁波市北仑区路港交通投资有限公司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工程款支付不到位，在项目执行过程中保留20%计量款项未支付。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106"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pPr>
              <w:widowControl/>
              <w:spacing w:line="360" w:lineRule="exact"/>
              <w:jc w:val="left"/>
              <w:textAlignment w:val="center"/>
              <w:rPr>
                <w:rFonts w:hint="eastAsia" w:ascii="宋体" w:hAnsi="宋体" w:cs="宋体"/>
                <w:color w:val="000000"/>
                <w:kern w:val="0"/>
                <w:sz w:val="20"/>
                <w:lang w:val="en-US" w:eastAsia="zh-CN" w:bidi="ar"/>
              </w:rPr>
            </w:pPr>
            <w:r>
              <w:rPr>
                <w:rFonts w:hint="eastAsia" w:ascii="宋体" w:hAnsi="宋体" w:cs="宋体"/>
                <w:color w:val="000000"/>
                <w:kern w:val="0"/>
                <w:sz w:val="20"/>
                <w:lang w:val="en-US" w:eastAsia="zh-CN" w:bidi="ar"/>
              </w:rPr>
              <w:t>施工、监理单位人员变更率高。JL2标监理单位监理人员变更率62%，JL3标监理单位监理人员变更率54%，且均未按合同约定扣除违约金；TJ04标施工单位主要人员变更率为50%；TJ08标施工单位项目经理和总工均进行了变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管理不规范。TJ04标施工单位将隧道工程任务进行拆分，与湖南中青建筑劳务有限公司签订隧道劳务分包合同及隧道施工机械设备租赁合同；TJ08标施工单位与劳务分包单位湖南通弘建筑工程有限公司、TJ09标施工单位与劳务分包单位娄底市建诚劳务有限公司劳务分包合同分别包含二衬台车、架桥机等大型机械设备。存在以劳务合作名义进行专业分包现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2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32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合同约定支付不规范。TJ04标施工单位对劳务分包每期支付计量款的85%</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存在合同约定支付不规范，未按计量款全额支付的问题。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3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部分标段存在代签字现象。TJ04标施工单位项目经理、总工和TJ08标施工单位总工检验申请批复单、施工放样报验单等多次由他人代签。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34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0"/>
                <w:u w:val="none"/>
                <w:lang w:val="en-US" w:eastAsia="zh-CN" w:bidi="ar"/>
              </w:rPr>
              <w:t>施工、监理单位人员变更率高，监理单位监理人员变更率91%，且安全监理工程师王成监理证书注册在其他单位。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35"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35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分包管理不规范。劳务分包合同约定由分包单位提供衬砌台车等大型机械设备。存在以劳务合作名义进行专业分包现象。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36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合同约定支付不规范。建设单位2017年11月至2019年7月每期支付计量款的60%，2019年7月至今每期支付计量款的88%。存在合同约定支付不规范，未按计量款全额支付的问题。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37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vMerge w:val="restart"/>
            <w:tcBorders>
              <w:tl2br w:val="nil"/>
              <w:tr2bl w:val="nil"/>
            </w:tcBorders>
            <w:noWrap w:val="0"/>
            <w:tcMar>
              <w:top w:w="12" w:type="dxa"/>
              <w:left w:w="12" w:type="dxa"/>
              <w:right w:w="12" w:type="dxa"/>
            </w:tcMar>
            <w:vAlign w:val="center"/>
          </w:tc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vMerge w:val="restart"/>
            <w:tcBorders>
              <w:tl2br w:val="nil"/>
              <w:tr2bl w:val="nil"/>
            </w:tcBorders>
            <w:noWrap w:val="0"/>
            <w:tcMar>
              <w:top w:w="12" w:type="dxa"/>
              <w:left w:w="12" w:type="dxa"/>
              <w:right w:w="12" w:type="dxa"/>
            </w:tcMar>
            <w:vAlign w:val="center"/>
          </w:tc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人员变更率过高。监理单位除TJJL-6监理标外，其余监理标段均有大量人员变更</w:t>
            </w:r>
            <w:r>
              <w:rPr>
                <w:rFonts w:hint="eastAsia" w:ascii="宋体" w:hAnsi="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对人员变更审核把关不严。TJJL-2监理标，建设单位未对监理单位变更人员是否满足招标文件资格审查条件进行审核。从提交的人员变更资料看，驻地监理工程师陈辉、桥梁专业监理工程师陈志强、试验监理工程师杨金虎不满足资格审查条件要求，且驻地监理工程师陈辉相关履历与其监理工程师证取得时间存在矛盾。</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单位人员履约差。督查时TJ-2标施工单位项目经理刘继国、项目总工陈旭、安全总监王武海均未在岗，项目经理没有履职业绩，没有现场考勤记录，日常工作签字为扫描件；现场实际履行项目经理职责的常务项目副经理赵新颖没有一级注册建造师及安全生产考核证。</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合同签订不及时。建设单位与总承包单位至今未签订正式施工合同。</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人员变更率过高。TJ-1标施工单位共涉及20人次主要人员变更。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分包管理不规范。TJ1标总承包单位用4个分包合同把项目全部分包给其3个子公司。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41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S32临夏至大河家高速公路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甘肃路桥公路投资有限公司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管理人员更换率高。施工单位中铁隧道局集团有限公司、中交二公局第三工程有限公司、中铁十七局集团有限公司项目经理、总工均变更，监理单位甘肃兴陇工程监理咨询有限公司、重庆锦程工程咨询有限公司高级驻地监理工程师变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8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分包管理不规范。LD03标施工单位中交二公局第三工程有限公司，劳务分包合同约定“施工所需所有机械设备均由乙方自行承担”，存在以劳务分包代替专业分包现象。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X040广河县对康至槐山顶公路改建工程</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广河县交通运输局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施工单位甘肃金恒发建筑工程有限公司，派驻现场的预算员等人员资格低于招标文件要求。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0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46</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统筹疫情防控与项目复工复产方面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r>
              <w:rPr>
                <w:rFonts w:hint="eastAsia" w:ascii="宋体" w:hAnsi="宋体" w:eastAsia="宋体" w:cs="宋体"/>
                <w:i w:val="0"/>
                <w:color w:val="000000"/>
                <w:kern w:val="0"/>
                <w:sz w:val="20"/>
                <w:szCs w:val="20"/>
                <w:u w:val="none"/>
                <w:lang w:val="en-US" w:eastAsia="zh-CN" w:bidi="ar"/>
              </w:rPr>
              <w:t>疫情防控存在“前紧后松”现象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项目疫情防控方案及预警制定时间为2020年3月份之前，未因形势变化而更新调整</w:t>
            </w:r>
            <w:r>
              <w:rPr>
                <w:rFonts w:hint="eastAsia" w:ascii="宋体" w:hAnsi="宋体" w:cs="宋体"/>
                <w:i w:val="0"/>
                <w:color w:val="000000"/>
                <w:kern w:val="0"/>
                <w:sz w:val="20"/>
                <w:szCs w:val="20"/>
                <w:u w:val="none"/>
                <w:lang w:val="en-US" w:eastAsia="zh-CN" w:bidi="ar"/>
              </w:rPr>
              <w:t>。</w:t>
            </w:r>
          </w:p>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1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47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TJ08标缺少2020年6、7月份防疫检查台账，部分台账缺少责任领导签字，部分劳务队伍只有3月份之前防疫消杀记录。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医学隔离观察室设置不规范。督查发现TJ08标留观室设在人员较密集办公区，未配备相关防疫用品和消杀用品，未制定隔离观察室相关制度。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49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疫情防控存在“前紧后松”现象</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项目疫情防控方案及预警制定时间为2020年3月份之前，未因形势变化而更新调整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50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未开展防疫演练，总承包单位缺防疫演练方案，未组织开展演练工作。</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9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51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检查发现各项目对常态化疫情防控缺少针对性措施，对秋冬季节可能出现的疫情反弹缺少相应的预案。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52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TJ-1标施工单位疫情防控应急预案流于形式，缺少可操作性。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53</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公路交通扶贫领域腐败和作风问题专项治理以及“四好农村路”建设管理方面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交通扶贫领域腐败和作风问题专项治理工作落实不到位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未制订专项治理具体实施方案</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TJ08标施工单位2020年5月份廉政教育会议纪要套用“湖南路桥通泰工程有限公司”材料。</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54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交通扶贫领域腐败和作风问题专项治理工作落实不到位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未制订专项治理具体实施方案</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施工单位廉政教育流于形式，仅是转发上级通知。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2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55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浏阳市交通运输局对33个贫困村交通专项扶贫项目开展“一季一专题”集中治理“回头看”工作落实不到位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未按所制定的“回头看”整改方案要求，落实整改并建立台账；部分项目对发现的问题未提出整改意见；检查用表填写内容不全，大部分检查用表检查人员、受检业主单位负责人未签字，部分检查表“支付工程款”数量填写错误，部分检查表套用“精准扶贫村2018年公路建设项目检查情况记录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3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widowControl/>
              <w:spacing w:line="360" w:lineRule="exact"/>
              <w:jc w:val="left"/>
              <w:textAlignment w:val="center"/>
              <w:rPr>
                <w:rFonts w:hint="eastAsia" w:ascii="宋体" w:hAnsi="宋体" w:cs="宋体"/>
                <w:color w:val="000000"/>
                <w:kern w:val="0"/>
                <w:sz w:val="20"/>
                <w:lang w:bidi="ar"/>
              </w:rPr>
            </w:pPr>
            <w:r>
              <w:rPr>
                <w:rFonts w:hint="eastAsia" w:ascii="宋体" w:hAnsi="宋体" w:cs="宋体"/>
                <w:color w:val="000000"/>
                <w:kern w:val="0"/>
                <w:sz w:val="20"/>
                <w:lang w:val="en-US" w:eastAsia="zh-CN" w:bidi="ar"/>
              </w:rPr>
              <w:t>交通扶贫领域腐败和作风问题专项治理工作落实不到位，未制定专项治理具体实施方案。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696" w:type="dxa"/>
            <w:tcBorders>
              <w:tl2br w:val="nil"/>
              <w:tr2bl w:val="nil"/>
            </w:tcBorders>
            <w:noWrap w:val="0"/>
            <w:tcMar>
              <w:top w:w="12" w:type="dxa"/>
              <w:left w:w="12" w:type="dxa"/>
              <w:right w:w="12" w:type="dxa"/>
            </w:tcMar>
            <w:vAlign w:val="center"/>
          </w:tcPr>
          <w:p>
            <w:pPr>
              <w:widowControl/>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57</w:t>
            </w:r>
          </w:p>
        </w:tc>
        <w:tc>
          <w:tcPr>
            <w:tcW w:w="1252"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widowControl/>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widowControl/>
              <w:spacing w:line="360" w:lineRule="exact"/>
              <w:jc w:val="left"/>
              <w:textAlignment w:val="center"/>
              <w:rPr>
                <w:rFonts w:hint="eastAsia" w:ascii="宋体" w:hAnsi="宋体" w:cs="宋体"/>
                <w:color w:val="000000"/>
                <w:kern w:val="0"/>
                <w:sz w:val="20"/>
                <w:szCs w:val="22"/>
                <w:u w:val="none"/>
                <w:lang w:val="en-US" w:eastAsia="zh-CN" w:bidi="ar"/>
              </w:rPr>
            </w:pPr>
            <w:r>
              <w:rPr>
                <w:rFonts w:hint="eastAsia" w:ascii="宋体" w:hAnsi="宋体" w:cs="宋体"/>
                <w:color w:val="000000"/>
                <w:kern w:val="0"/>
                <w:sz w:val="20"/>
                <w:szCs w:val="22"/>
                <w:u w:val="none"/>
                <w:lang w:val="en-US" w:eastAsia="zh-CN" w:bidi="ar"/>
              </w:rPr>
              <w:t>项目廉政教育工作流于形式。TJ-2标施工单位“纪委书记与项目班子成员党风廉政谈话表”信息记录不全，部分人员缺谈话时间、被谈话人姓名签字；廉政教育学习浮于表面，仅是转发上级通知。TJJL-1标监理单位未按照其制定的《廉政管理制度》开展2020年监理廉政教育培训，部分不同批次学习存档资料图片一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29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58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2"/>
                <w:u w:val="none"/>
                <w:lang w:bidi="ar"/>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widowControl/>
              <w:spacing w:line="360" w:lineRule="exact"/>
              <w:jc w:val="left"/>
              <w:textAlignment w:val="center"/>
              <w:rPr>
                <w:rFonts w:hint="eastAsia" w:ascii="宋体" w:hAnsi="宋体" w:cs="宋体"/>
                <w:color w:val="000000"/>
                <w:kern w:val="0"/>
                <w:sz w:val="20"/>
                <w:szCs w:val="22"/>
                <w:lang w:bidi="ar"/>
              </w:rPr>
            </w:pPr>
            <w:r>
              <w:rPr>
                <w:rFonts w:hint="eastAsia" w:ascii="宋体" w:hAnsi="宋体" w:cs="宋体"/>
                <w:color w:val="000000"/>
                <w:kern w:val="0"/>
                <w:sz w:val="20"/>
                <w:u w:val="none"/>
                <w:lang w:val="en-US" w:eastAsia="zh-CN" w:bidi="ar"/>
              </w:rPr>
              <w:t>交通扶贫领域腐败和作风问题专项治理工作落实不到位，未按《中共云南省交通投资建设集团有限公司委员会扶贫领域腐败和作风问题专项治理工作方案（2018-2020年）》开展相关工作，未建立扶贫领域问题线索每月排查机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7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59</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设计管理方面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G59呼北国家高速公路湖南省官庄至新化段</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湖南省高速公路建设开发总公司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地质勘察仍有待加强，施工图设计阶段未能完全揭示岩溶发育路段；金鸡大桥桥位地质勘察不足，未能发现岸坡稳定性问题，影响桥梁施工和运营安全，导致发生工程变更。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0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60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推进钢结构桥梁建设力度不足，平口资水大桥、苏溪村大桥初步设计批复为钢混组合梁，施工图设计改为钢筋混凝土T梁。</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44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设计变更管理不规范</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建设单位印发的《湖南省平江（湘赣界）至伍市、伍市至益阳高速公路项目工程变更实施细则》一般、较大设计变更标准，与《关于进一步规范我省高速公路和普通国省道工程建设项目管理的若干意见》(湘交基建〔2018〕116号）中规定不一致，且重大变更、较大变更审批流程没有体现上报省交通运输厅备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8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62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设计变更管理不规范</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抽查设计变更资料（编号10），NK1+400-NK1+450、NK1+485-NK1+505段变更为石渣进行清淤换填，换填前的动力触探试验时间晚于建设单位变更批复时间。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G8511云南省小勐养至磨憨公路改扩建工程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云南小磨高速公路改扩建工程建设指挥部</w:t>
            </w:r>
          </w:p>
        </w:tc>
        <w:tc>
          <w:tcPr>
            <w:tcW w:w="5963" w:type="dxa"/>
            <w:tcBorders>
              <w:tl2br w:val="nil"/>
              <w:tr2bl w:val="nil"/>
            </w:tcBorders>
            <w:noWrap w:val="0"/>
            <w:tcMar>
              <w:top w:w="12" w:type="dxa"/>
              <w:left w:w="12" w:type="dxa"/>
              <w:right w:w="12" w:type="dxa"/>
            </w:tcMar>
            <w:vAlign w:val="center"/>
          </w:tc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设计变更台账未按规定上报相应交通运输主管部门备案。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84"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项目预算批复滞后，</w:t>
            </w:r>
            <w:r>
              <w:rPr>
                <w:rFonts w:hint="eastAsia" w:ascii="宋体" w:hAnsi="宋体" w:cs="宋体"/>
                <w:i w:val="0"/>
                <w:color w:val="000000"/>
                <w:kern w:val="0"/>
                <w:sz w:val="20"/>
                <w:szCs w:val="20"/>
                <w:u w:val="none"/>
                <w:lang w:val="en-US" w:eastAsia="zh-CN" w:bidi="ar"/>
              </w:rPr>
              <w:t>项目</w:t>
            </w:r>
            <w:r>
              <w:rPr>
                <w:rFonts w:hint="eastAsia" w:ascii="宋体" w:hAnsi="宋体" w:eastAsia="宋体" w:cs="宋体"/>
                <w:i w:val="0"/>
                <w:color w:val="000000"/>
                <w:kern w:val="0"/>
                <w:sz w:val="20"/>
                <w:szCs w:val="20"/>
                <w:u w:val="none"/>
                <w:lang w:val="en-US" w:eastAsia="zh-CN" w:bidi="ar"/>
              </w:rPr>
              <w:t>完工后才批复施工图预算。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8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65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设计变更台账未按规定上报相应交通运输主管部门备案。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8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eastAsia="宋体"/>
                <w:lang w:val="en-US" w:eastAsia="zh-CN"/>
              </w:rPr>
            </w:pPr>
            <w:r>
              <w:rPr>
                <w:rFonts w:hint="eastAsia"/>
                <w:lang w:val="en-US" w:eastAsia="zh-CN"/>
              </w:rPr>
              <w:t>66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项目预算批复滞后，至今未批复施工图预算。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67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变更设计审批手续滞后</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TJ-12标凤凰隧道玉溪端坡体处治工程，</w:t>
            </w:r>
            <w:r>
              <w:rPr>
                <w:rFonts w:hint="eastAsia" w:ascii="宋体" w:hAnsi="宋体" w:cs="宋体"/>
                <w:i w:val="0"/>
                <w:color w:val="000000"/>
                <w:kern w:val="0"/>
                <w:sz w:val="20"/>
                <w:szCs w:val="20"/>
                <w:u w:val="none"/>
                <w:lang w:val="en-US" w:eastAsia="zh-CN" w:bidi="ar"/>
              </w:rPr>
              <w:t>发生设计变更，</w:t>
            </w:r>
            <w:r>
              <w:rPr>
                <w:rFonts w:hint="eastAsia" w:ascii="宋体" w:hAnsi="宋体" w:eastAsia="宋体" w:cs="宋体"/>
                <w:i w:val="0"/>
                <w:color w:val="000000"/>
                <w:kern w:val="0"/>
                <w:sz w:val="20"/>
                <w:szCs w:val="20"/>
                <w:u w:val="none"/>
                <w:lang w:val="en-US" w:eastAsia="zh-CN" w:bidi="ar"/>
              </w:rPr>
              <w:t>工程已完工，</w:t>
            </w:r>
            <w:r>
              <w:rPr>
                <w:rFonts w:hint="eastAsia" w:ascii="宋体" w:hAnsi="宋体" w:cs="宋体"/>
                <w:i w:val="0"/>
                <w:color w:val="000000"/>
                <w:kern w:val="0"/>
                <w:sz w:val="20"/>
                <w:szCs w:val="20"/>
                <w:u w:val="none"/>
                <w:lang w:val="en-US" w:eastAsia="zh-CN" w:bidi="ar"/>
              </w:rPr>
              <w:t>设计变更</w:t>
            </w:r>
            <w:r>
              <w:rPr>
                <w:rFonts w:hint="eastAsia" w:ascii="宋体" w:hAnsi="宋体" w:eastAsia="宋体" w:cs="宋体"/>
                <w:i w:val="0"/>
                <w:color w:val="000000"/>
                <w:kern w:val="0"/>
                <w:sz w:val="20"/>
                <w:szCs w:val="20"/>
                <w:u w:val="none"/>
                <w:lang w:val="en-US" w:eastAsia="zh-CN" w:bidi="ar"/>
              </w:rPr>
              <w:t>至今未报省厅审批。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S32临夏至大河家高速公路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甘肃路桥公路投资有限公司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勘察设计工作深度不足，有4座大桥33根桩基原设计桩顶标高低于或高出原地面标高，造成设计变更调整墩柱长度，增加费用约95.9万元。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69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G75兰海高速渭源至武都段</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甘肃长达路业有限责任公司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勘察管理有待进一步提升。隧道勘察中对砂岩、泥岩变异性，以及地质构造带对隧道的围岩稳定性的影响认识不足，导致降雨量异常情况下衬砌结构强度不足、发生损坏；临近路线的不稳定斜坡勘察工作量不足，施工扰动后影响路基安全稳定，需要增加支挡防护。</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设条件调查不够精细。设计阶段未核实大草滩卫生院改建位置，导致路线方案局部调整；调取的兰渝铁路化马隧道资料中缺少新增泄水洞资料，导致施工期间隧道局部轴线调整；沙湾隧道出口施工条件调查不细，建设期间进洞方案变更，导致增加斜井辅助施工。</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6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71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设计变更批复不够及时。省交通运输厅已经批复的18项较大设计变更中，只批复了其中5项的变更费用。个别变更因方案确定不及时导致变更规模扩大。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8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72</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质量和安全生产方面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宁波舟山港主通道工程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浙江舟山北向大通道有限公司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工程质量管控存在不足</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南通航孔桥主塔第三塔塔身内侧表面存在较多竖向、横向和网状裂纹，烟墩大桥右幅局部混凝土防撞护栏内侧表面存在斜向裂纹。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color w:val="000000"/>
                <w:kern w:val="0"/>
                <w:sz w:val="20"/>
                <w:lang w:val="en-US" w:eastAsia="zh-CN" w:bidi="ar"/>
              </w:rPr>
              <w:t>73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安全生产管理不够完善</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项目安全风险管控和隐患排查治理双重预防体系建设有待加强；施工单位安全技术交底层级不清晰，二、三级交底的对象和内容雷同、针对性不强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施工单位未建立危险源动态管理台账；部分承包人至督查时未向分包单位支付安全生产费；海上平台、爬模等临时设施以及何家大桥跨鸭东线钢护栏锈蚀严重。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31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2"/>
                <w:u w:val="none"/>
                <w:lang w:bidi="ar"/>
              </w:rPr>
            </w:pPr>
            <w:r>
              <w:rPr>
                <w:rFonts w:hint="eastAsia" w:ascii="宋体" w:hAnsi="宋体" w:cs="宋体"/>
                <w:i w:val="0"/>
                <w:color w:val="000000"/>
                <w:kern w:val="0"/>
                <w:sz w:val="20"/>
                <w:szCs w:val="22"/>
                <w:u w:val="none"/>
                <w:lang w:val="en-US" w:eastAsia="zh-CN" w:bidi="ar"/>
              </w:rPr>
              <w:t>74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G329北仑富春江路至陈华段改建工程一期</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宁波市北仑区路港交通投资有限公司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工程质量管控存在不足</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未要求施工单位建立工地试验室，试验检测工作均依赖外部委托，试验频率难以满足质量管理要求。监理单位宁波交通工程咨询监理有限公司旁站记录不细致，灌注桩水下混凝土浇筑施工无相关数据记录。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9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r>
              <w:rPr>
                <w:rFonts w:hint="eastAsia" w:ascii="宋体" w:hAnsi="宋体" w:cs="宋体"/>
                <w:color w:val="000000"/>
                <w:kern w:val="0"/>
                <w:sz w:val="20"/>
                <w:szCs w:val="22"/>
                <w:lang w:val="en-US" w:eastAsia="zh-CN" w:bidi="ar"/>
              </w:rPr>
              <w:t>75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安全生产管理不够完善</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项目安全风险管控和隐患排查治理双重预防体系建设有待加强；施工单位安全技术交底层级不清晰，二、三级交底的对象和内容雷同、针对性不强。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r>
              <w:rPr>
                <w:rFonts w:hint="eastAsia" w:ascii="宋体" w:hAnsi="宋体" w:cs="宋体"/>
                <w:color w:val="000000"/>
                <w:kern w:val="0"/>
                <w:sz w:val="20"/>
                <w:szCs w:val="22"/>
                <w:lang w:val="en-US" w:eastAsia="zh-CN" w:bidi="ar"/>
              </w:rPr>
              <w:t>76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雁湖路（机场路至环镇路段）改建工程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鄞州区交通运输局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工程质量管控存在不足</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未要求施工单位建立工地试验室，试验检测工作均依赖外部委托，试验频率难以满足质量管理要求。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17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r>
              <w:rPr>
                <w:rFonts w:hint="eastAsia" w:ascii="宋体" w:hAnsi="宋体" w:cs="宋体"/>
                <w:i w:val="0"/>
                <w:color w:val="000000"/>
                <w:kern w:val="0"/>
                <w:sz w:val="20"/>
                <w:szCs w:val="22"/>
                <w:u w:val="none"/>
                <w:lang w:val="en-US" w:eastAsia="zh-CN" w:bidi="ar"/>
              </w:rPr>
              <w:t>77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安全生产管理不够完善</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项目安全风险管控和隐患排查治理双重预防体系建设有待加强；施工单位安全技术交底层级不清晰，二、三级交底的对象和内容雷同、针对性不强。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bidi="ar"/>
              </w:rPr>
            </w:pPr>
            <w:r>
              <w:rPr>
                <w:rFonts w:hint="eastAsia" w:ascii="宋体" w:hAnsi="宋体" w:cs="宋体"/>
                <w:color w:val="000000"/>
                <w:kern w:val="0"/>
                <w:sz w:val="20"/>
                <w:szCs w:val="22"/>
                <w:lang w:val="en-US" w:eastAsia="zh-CN" w:bidi="ar"/>
              </w:rPr>
              <w:t>78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施工组织管理不规范</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总监办对施工单位施工组织设计审批未盖章；TJ08标施工日志较为简单，存在的问题、整改措施及落实情况均未体现</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TJ09标的施工组织设计申报及审批时间均未填写</w:t>
            </w:r>
            <w:r>
              <w:rPr>
                <w:rFonts w:hint="eastAsia" w:ascii="宋体" w:hAnsi="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r>
              <w:rPr>
                <w:rFonts w:hint="eastAsia" w:ascii="宋体" w:hAnsi="宋体" w:cs="宋体"/>
                <w:i w:val="0"/>
                <w:color w:val="000000"/>
                <w:kern w:val="0"/>
                <w:sz w:val="20"/>
                <w:szCs w:val="22"/>
                <w:u w:val="none"/>
                <w:lang w:val="en-US" w:eastAsia="zh-CN" w:bidi="ar"/>
              </w:rPr>
              <w:t>79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技术交底不到位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TJ04标施工单位公司对项目部进行交底时没有交底及被交底人员的签字，三级交底操作人员存在统一代签字现象；TJ08标交底内容中未体现相关的应急预案及措施等内容。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施工单位试验检测指标不齐全</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TJ04、TJ08标抽检的水泥</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存在试验检测指标不齐全的情况。TJ08、TJ09标施工单位均未检测水泥混凝土氯离子和碱含量。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施工数据不一致或不满足要求</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TJ04标箱梁C50配合比设计中粗集料粒径前后不一致，水泥报告与混凝土配比报告内容不一致。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现场质量安全管理需进一步加强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TJ08标预制小箱梁现场钢绞线、锚具锈蚀较为严重；TJ09标井家湾桥9号桥台支架基础不牢固，脚手板不满铺。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施工单位对监理单位通报的安全隐患问题整改不到位，导致相同安全隐患问题反复发生</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如TJ04标施工单位连续出现隧道监控显示进场人员与实际进场人员不符，TJ08标、TJ09标施工单位连续被监理单位通报架桥机安拆方案审批手续不完善。</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对质量安全问题处罚不到位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建设单位对湖南省交通建设质量安全监督管理局检查通报的质量安全问题，未按照合同及公司管理规定对施工单位进行相应的经济处罚。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5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2"/>
                <w:u w:val="none"/>
                <w:lang w:bidi="ar"/>
              </w:rPr>
            </w:pPr>
            <w:r>
              <w:rPr>
                <w:rFonts w:hint="eastAsia" w:ascii="宋体" w:hAnsi="宋体" w:cs="宋体"/>
                <w:color w:val="000000"/>
                <w:kern w:val="0"/>
                <w:sz w:val="20"/>
                <w:szCs w:val="22"/>
                <w:lang w:val="en-US" w:eastAsia="zh-CN" w:bidi="ar"/>
              </w:rPr>
              <w:t>85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施工组织管理不规范</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施工日志较为简单，存在的问题、整改措施及落实情况均未体现。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5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r>
              <w:rPr>
                <w:rFonts w:hint="eastAsia" w:ascii="宋体" w:hAnsi="宋体" w:cs="宋体"/>
                <w:i w:val="0"/>
                <w:color w:val="000000"/>
                <w:kern w:val="0"/>
                <w:sz w:val="20"/>
                <w:szCs w:val="22"/>
                <w:u w:val="none"/>
                <w:lang w:val="en-US" w:eastAsia="zh-CN" w:bidi="ar"/>
              </w:rPr>
              <w:t>86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技术交底不到位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交底内容中未体现相关的应急预案及措施等内容。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5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施工单位试验检测指标不齐全</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施工单位抽检的钢筋、混凝土外加剂、土工合成材料</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存在试验检测指标不齐全的情况</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施工单位未检测水泥混凝土氯离子和碱含量。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5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施工数据不一致或不满足要求</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灌注桩C30水下混凝土配合比中胶凝材料用量为415kg/m3。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5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89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施工单位对于监理发现的安全装置缺失和损坏的问题未排查安全隐患源头，未对相关责任人进行教育和处罚。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2"/>
                <w:u w:val="none"/>
                <w:lang w:val="en-US" w:eastAsia="zh-CN" w:bidi="ar"/>
              </w:rPr>
            </w:pPr>
            <w:r>
              <w:rPr>
                <w:rFonts w:hint="eastAsia" w:ascii="宋体" w:hAnsi="宋体" w:cs="宋体"/>
                <w:i w:val="0"/>
                <w:color w:val="000000"/>
                <w:kern w:val="0"/>
                <w:sz w:val="20"/>
                <w:szCs w:val="22"/>
                <w:u w:val="none"/>
                <w:lang w:val="en-US" w:eastAsia="zh-CN" w:bidi="ar"/>
              </w:rPr>
              <w:t>90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对质量安全问题处罚不到位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建设单位未按照《浏阳市金阳大道项目建设工作领导小组办公室关于印发金阳大道三期承包人违约及工程质量、安全、文明处罚合同条款的通知》要求对发现的质量安全问题进行相应的处罚。</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696" w:type="dxa"/>
            <w:tcBorders>
              <w:tl2br w:val="nil"/>
              <w:tr2bl w:val="nil"/>
            </w:tcBorders>
            <w:noWrap w:val="0"/>
            <w:tcMar>
              <w:top w:w="12" w:type="dxa"/>
              <w:left w:w="12" w:type="dxa"/>
              <w:right w:w="12" w:type="dxa"/>
            </w:tcMar>
            <w:vAlign w:val="center"/>
          </w:tcPr>
          <w:p>
            <w:r>
              <w:rPr>
                <w:rFonts w:hint="eastAsia" w:ascii="宋体" w:hAnsi="宋体" w:cs="宋体"/>
                <w:i w:val="0"/>
                <w:color w:val="000000"/>
                <w:kern w:val="0"/>
                <w:sz w:val="20"/>
                <w:szCs w:val="22"/>
                <w:u w:val="none"/>
                <w:lang w:val="en-US" w:eastAsia="zh-CN" w:bidi="ar"/>
              </w:rPr>
              <w:t>91</w:t>
            </w:r>
          </w:p>
          <w:p/>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2"/>
                <w:u w:val="none"/>
                <w:lang w:bidi="ar"/>
              </w:rPr>
            </w:pP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高升庙至源树农村通组公路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浏阳市农村公路管理局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施工单位抽检的粗、细集料等原材料</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存在试验检测指标不齐全的情况。</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696" w:type="dxa"/>
            <w:tcBorders>
              <w:tl2br w:val="nil"/>
              <w:tr2bl w:val="nil"/>
            </w:tcBorders>
            <w:noWrap w:val="0"/>
            <w:tcMar>
              <w:top w:w="12" w:type="dxa"/>
              <w:left w:w="12" w:type="dxa"/>
              <w:right w:w="12" w:type="dxa"/>
            </w:tcMar>
            <w:vAlign w:val="center"/>
          </w:tcPr>
          <w:p>
            <w:r>
              <w:rPr>
                <w:rFonts w:hint="eastAsia" w:ascii="宋体" w:hAnsi="宋体" w:cs="宋体"/>
                <w:i w:val="0"/>
                <w:color w:val="000000"/>
                <w:kern w:val="0"/>
                <w:sz w:val="20"/>
                <w:szCs w:val="22"/>
                <w:u w:val="none"/>
                <w:lang w:val="en-US" w:eastAsia="zh-CN" w:bidi="ar"/>
              </w:rPr>
              <w:t>92</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2"/>
                <w:u w:val="none"/>
                <w:lang w:bidi="ar"/>
              </w:rPr>
            </w:pP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r>
              <w:rPr>
                <w:rFonts w:hint="eastAsia" w:ascii="宋体" w:hAnsi="宋体" w:eastAsia="宋体" w:cs="宋体"/>
                <w:i w:val="0"/>
                <w:color w:val="000000"/>
                <w:kern w:val="0"/>
                <w:sz w:val="20"/>
                <w:szCs w:val="20"/>
                <w:u w:val="none"/>
                <w:lang w:val="en-US" w:eastAsia="zh-CN" w:bidi="ar"/>
              </w:rPr>
              <w:t>现场质量安全管理需进一步加强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以警示标志桩代替安全防护护栏；未修建错车道，无法进行错车；路面刻槽深度局部不足，无法起到抗滑作用。</w:t>
            </w:r>
          </w:p>
          <w:p/>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26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2"/>
                <w:u w:val="none"/>
                <w:lang w:bidi="ar"/>
              </w:rPr>
            </w:pPr>
            <w:r>
              <w:rPr>
                <w:rFonts w:hint="eastAsia" w:ascii="宋体" w:hAnsi="宋体" w:cs="宋体"/>
                <w:color w:val="000000"/>
                <w:kern w:val="0"/>
                <w:sz w:val="20"/>
                <w:szCs w:val="22"/>
                <w:lang w:val="en-US" w:eastAsia="zh-CN" w:bidi="ar"/>
              </w:rPr>
              <w:t>93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vMerge w:val="restart"/>
            <w:tcBorders>
              <w:tl2br w:val="nil"/>
              <w:tr2bl w:val="nil"/>
            </w:tcBorders>
            <w:noWrap w:val="0"/>
            <w:tcMar>
              <w:top w:w="12" w:type="dxa"/>
              <w:left w:w="12" w:type="dxa"/>
              <w:right w:w="12" w:type="dxa"/>
            </w:tcMar>
            <w:vAlign w:val="center"/>
          </w:tc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vMerge w:val="restart"/>
            <w:tcBorders>
              <w:tl2br w:val="nil"/>
              <w:tr2bl w:val="nil"/>
            </w:tcBorders>
            <w:noWrap w:val="0"/>
            <w:tcMar>
              <w:top w:w="12" w:type="dxa"/>
              <w:left w:w="12" w:type="dxa"/>
              <w:right w:w="12" w:type="dxa"/>
            </w:tcMar>
            <w:vAlign w:val="center"/>
          </w:tc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施工质量安全管理制度落实不到位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建设单位及施工单位没有安全生产专项整治三年行动方案落实记录；建设单位对监督检查回复闭环情况把控不严，缺乏跟踪复查资料</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TJ-4标施工单位质量安全管理制度针对性差。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5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r>
              <w:rPr>
                <w:rFonts w:hint="eastAsia" w:ascii="宋体" w:hAnsi="宋体" w:cs="宋体"/>
                <w:i w:val="0"/>
                <w:color w:val="000000"/>
                <w:kern w:val="0"/>
                <w:sz w:val="20"/>
                <w:szCs w:val="22"/>
                <w:u w:val="none"/>
                <w:lang w:val="en-US" w:eastAsia="zh-CN" w:bidi="ar"/>
              </w:rPr>
              <w:t>94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现场质量安全管理需进一步加强</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TJ-2标部分预制T梁凿毛过深；TJ-4标隧道初期支护平整度差，隧道施工存在超欠挖现象，钢筋网片布设不合理，网片搭接长度不足。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2"/>
                <w:u w:val="none"/>
                <w:lang w:bidi="ar"/>
              </w:rPr>
            </w:pPr>
            <w:r>
              <w:rPr>
                <w:rFonts w:hint="eastAsia" w:ascii="宋体" w:hAnsi="宋体" w:cs="宋体"/>
                <w:color w:val="000000"/>
                <w:kern w:val="0"/>
                <w:sz w:val="20"/>
                <w:szCs w:val="22"/>
                <w:lang w:val="en-US" w:eastAsia="zh-CN" w:bidi="ar"/>
              </w:rPr>
              <w:t>95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施工质量安全管理制度落实不到位</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TJ1标施工单位质量安全管理制度针对性差。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r>
              <w:rPr>
                <w:rFonts w:hint="eastAsia" w:ascii="宋体" w:hAnsi="宋体" w:cs="宋体"/>
                <w:i w:val="0"/>
                <w:color w:val="000000"/>
                <w:kern w:val="0"/>
                <w:sz w:val="20"/>
                <w:szCs w:val="20"/>
                <w:u w:val="none"/>
                <w:lang w:val="en-US" w:eastAsia="zh-CN" w:bidi="ar"/>
              </w:rPr>
              <w:t>96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存在施工现场文明施工程度差；部分上边坡框格梁未按设计施工；桥梁护栏钢筋与梁板预埋钢筋未有效连接，未垫置保护层垫块；沥青路面层间污染严重等问题。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0"/>
                <w:lang w:val="en-US" w:eastAsia="zh-CN" w:bidi="ar"/>
              </w:rPr>
              <w:t>97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S32临夏至大河家高速公路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甘肃路桥公路投资有限公司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建设单位项目办未对施工标准化考核资料履行签字手续，施工单位自检体系技术力量不足，施工日志记录简单，不能有效反映施工实际情况等问题。</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1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0"/>
                <w:u w:val="none"/>
                <w:lang w:val="en-US" w:eastAsia="zh-CN" w:bidi="ar"/>
              </w:rPr>
              <w:t>98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D02标施工单位中铁隧道局集团有限公司和LD03标施工单位中交二公局第三工程有限公司，隧道逃生管道连接不满足要求，应急物资管理不规范、针对性不强；LD05标段癿藏隧道左线上、下导连接处局部初喷砼厚度不均匀且厚度不足。</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2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LDJL1标监理单位甘肃兴陇工程监理咨询有限公司和LDJL2标监理单位重庆育才工程咨询监理有限公司，隧道钢拱架检测和超前小导管检测数据为编造；第三监理驻地办抽检记录及不合格试验单签字手续不齐全。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0"/>
                <w:lang w:val="en-US" w:eastAsia="zh-CN" w:bidi="ar"/>
              </w:rPr>
              <w:t>100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S104兰州（沈家坡）至阿干镇公路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甘肃公航旅兰阿公路管理有限公司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建设单位项目办对施工标准化考核缺少管理台账。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0"/>
                <w:u w:val="none"/>
                <w:lang w:val="en-US" w:eastAsia="zh-CN" w:bidi="ar"/>
              </w:rPr>
              <w:t>101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施工单位中铁十五局集团有限公司，未反馈安全隐患排查发现问题整改情况</w:t>
            </w:r>
            <w:r>
              <w:rPr>
                <w:rFonts w:hint="eastAsia" w:ascii="宋体" w:hAnsi="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梁家磨特大桥右幅31#-1,31#-2墩柱混凝土局部有漏浆和麻面现象</w:t>
            </w:r>
            <w:r>
              <w:rPr>
                <w:rFonts w:hint="eastAsia" w:ascii="宋体" w:hAnsi="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103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X040广河县对康至槐山顶公路改建工程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广河县交通运输局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施工现场路面铺筑标高控制不严、与路肩高差不一，沥青路面摊铺后有部分离析</w:t>
            </w:r>
            <w:r>
              <w:rPr>
                <w:rFonts w:hint="eastAsia" w:ascii="宋体" w:hAnsi="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0"/>
                <w:u w:val="none"/>
                <w:lang w:val="en-US" w:eastAsia="zh-CN" w:bidi="ar"/>
              </w:rPr>
              <w:t>104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施工单位甘肃华昌建筑工程有限公司无施工记录，监理单位甘肃中泰项目管理咨询有限公司无现场抽检数据记录。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施工单位甘肃金恒发建筑工程有限公司、甘肃华昌建筑工程有限公司，对广河县交通工程质监站质量安全检查通报的整改报告，未按要求报监理单位审核。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106</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保证金收取方面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宁波舟山港主通道工程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浙江舟山北向大通道有限公司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施工招标未及时退还投标保证金。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0"/>
                <w:u w:val="none"/>
                <w:lang w:val="en-US" w:eastAsia="zh-CN" w:bidi="ar"/>
              </w:rPr>
              <w:t>107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收取的质量保证金未按规定及时清理退还</w:t>
            </w:r>
            <w:r>
              <w:rPr>
                <w:rFonts w:hint="eastAsia" w:ascii="宋体" w:hAnsi="宋体" w:cs="宋体"/>
                <w:i w:val="0"/>
                <w:color w:val="000000"/>
                <w:kern w:val="0"/>
                <w:sz w:val="20"/>
                <w:szCs w:val="20"/>
                <w:u w:val="none"/>
                <w:lang w:val="en-US" w:eastAsia="zh-CN"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108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雁湖路（机场路至环镇路段）改建工程</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鄞州区交通运输局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投标保证金收取不规范，</w:t>
            </w:r>
            <w:r>
              <w:rPr>
                <w:rFonts w:hint="eastAsia" w:ascii="宋体" w:hAnsi="宋体" w:eastAsia="宋体" w:cs="宋体"/>
                <w:i w:val="0"/>
                <w:color w:val="000000"/>
                <w:kern w:val="0"/>
                <w:sz w:val="20"/>
                <w:szCs w:val="20"/>
                <w:u w:val="none"/>
                <w:lang w:val="en-US" w:eastAsia="zh-CN" w:bidi="ar"/>
              </w:rPr>
              <w:t>施工招标要求只能用现金形式缴纳投标保证金。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14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109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金收取不规范。TJ08标施工单位对劳务分包单位娄底兴文公司收取合同价款20%的现金形式的履约保证金，TJ09标施工单位对劳务分包单位娄底建诚公司收取合同价款5%的现金形式的履约保证金，同时收取合同价款5%的现金形式的安全生产保证金并未及时退还到位。</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0"/>
                <w:u w:val="none"/>
                <w:lang w:val="en-US" w:eastAsia="zh-CN" w:bidi="ar"/>
              </w:rPr>
              <w:t>110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保证金收取不规范。对施工单位收取合同价款10%的履约担保（其中1000万元约定为现金形式），同时每期计量扣留5%的质量保证金。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86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111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TJ-2标施工单位向分包单位同时收取履约担保、安全风险金、农民工工资保证金、质量保证金，合计约占合同额15%。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93"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2"/>
                <w:u w:val="none"/>
                <w:lang w:val="en-US" w:eastAsia="zh-CN" w:bidi="ar"/>
              </w:rPr>
              <w:t>112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分包单位向劳务公司收取3%现金形式的保证金。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1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2"/>
                <w:u w:val="none"/>
                <w:lang w:bidi="ar"/>
              </w:rPr>
            </w:pPr>
            <w:r>
              <w:rPr>
                <w:rFonts w:hint="eastAsia" w:ascii="宋体" w:hAnsi="宋体" w:cs="宋体"/>
                <w:color w:val="000000"/>
                <w:kern w:val="0"/>
                <w:sz w:val="20"/>
                <w:szCs w:val="22"/>
                <w:lang w:val="en-US" w:eastAsia="zh-CN" w:bidi="ar"/>
              </w:rPr>
              <w:t>113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S32临夏至大河家高速公路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甘肃路桥公路投资有限公司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文件规定，投标人采用银行电汇形式递交投标保证金，并限制以其他方式缴纳；规定承包人应缴纳的履约保证金为合同金额的10%，其中7%在签订合同前缴纳，剩余的3%在签订合同后以扣除计量工程款方式缴纳，扣除方式缴纳的属于变相以现金形式收取保证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r>
              <w:rPr>
                <w:rFonts w:hint="eastAsia" w:ascii="宋体" w:hAnsi="宋体" w:cs="宋体"/>
                <w:i w:val="0"/>
                <w:color w:val="000000"/>
                <w:kern w:val="0"/>
                <w:sz w:val="20"/>
                <w:szCs w:val="20"/>
                <w:u w:val="none"/>
                <w:lang w:val="en-US" w:eastAsia="zh-CN" w:bidi="ar"/>
              </w:rPr>
              <w:t>114</w:t>
            </w:r>
          </w:p>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szCs w:val="22"/>
                <w:lang w:bidi="ar"/>
              </w:rPr>
            </w:pP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S104兰州（沈家坡）至阿干镇公路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甘肃公航旅兰阿公路管理有限公司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招标文件规定，投标人采用银行电汇形式递交投标保证金，并限制以其他方式缴纳；规定承包人应缴纳的履约保证金为合同金额的10%，其中7%在签订合同前缴纳，剩余的3%在签订合同后以扣除计量工程款方式缴纳，扣除方式缴纳的属于变相以现金形式收取保证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115</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造价管理方面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w:t>
            </w: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r>
              <w:rPr>
                <w:rFonts w:hint="eastAsia" w:ascii="宋体" w:hAnsi="宋体" w:eastAsia="宋体" w:cs="宋体"/>
                <w:i w:val="0"/>
                <w:color w:val="000000"/>
                <w:kern w:val="0"/>
                <w:sz w:val="20"/>
                <w:szCs w:val="20"/>
                <w:u w:val="none"/>
                <w:lang w:val="en-US" w:eastAsia="zh-CN" w:bidi="ar"/>
              </w:rPr>
              <w:t>公路工程造价全过程管理工作有待进一步强化，未实现各阶段、各环节造价管理工作的有机衔接。已完工项目未按要求编制造价执行情况报告，竣工决算报告编制不规范。</w:t>
            </w:r>
          </w:p>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116</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造价监督工作有待进一步加强。造价监督检查工作内容不完整，未落实监督计划、检查方式、反馈落实与整改措施等制度建设内容。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117</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宁波舟山港主通道工程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浙江舟山北向大通道有限公司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施工图批复内容未包括施工图预算。未建立项目造价信息的报送、采集制度。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color w:val="000000"/>
                <w:kern w:val="0"/>
                <w:sz w:val="20"/>
                <w:lang w:val="en-US" w:eastAsia="zh-CN" w:bidi="ar"/>
              </w:rPr>
            </w:pPr>
            <w:r>
              <w:rPr>
                <w:rFonts w:hint="eastAsia" w:ascii="宋体" w:hAnsi="宋体" w:cs="宋体"/>
                <w:i w:val="0"/>
                <w:color w:val="000000"/>
                <w:kern w:val="0"/>
                <w:sz w:val="20"/>
                <w:szCs w:val="20"/>
                <w:u w:val="none"/>
                <w:lang w:val="en-US" w:eastAsia="zh-CN" w:bidi="ar"/>
              </w:rPr>
              <w:t>118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造价台账不规范，部分台账要素、环节数据缺失，且与批复概算对比口径不一致。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7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施工一标使用0#清单工程量修正合同清单的做法缺乏合同约定。部分计量工程数量缺乏现场量测，基本依赖设计图纸提供的工程数量，个别桩底标高有误，存在后续竣工图纸无法准确反映实际工程量的隐患。</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118"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color w:val="000000"/>
                <w:kern w:val="0"/>
                <w:sz w:val="20"/>
                <w:lang w:val="en-US" w:eastAsia="zh-CN" w:bidi="ar"/>
              </w:rPr>
              <w:t>120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嘉兴至绍兴跨江公路通道工程</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浙江嘉绍跨江大桥投资发展有限公司、嘉兴市嘉绍高速公路投资开发有限责任公司、绍兴市嘉绍跨江大桥南接线投资有限公司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施工图批复内容未包括施工图预算。未建立项目造价信息的报送、采集制度。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024" w:hRule="atLeast"/>
        </w:trPr>
        <w:tc>
          <w:tcPr>
            <w:tcW w:w="696" w:type="dxa"/>
            <w:tcBorders>
              <w:tl2br w:val="nil"/>
              <w:tr2bl w:val="nil"/>
            </w:tcBorders>
            <w:noWrap w:val="0"/>
            <w:tcMar>
              <w:top w:w="12" w:type="dxa"/>
              <w:left w:w="12" w:type="dxa"/>
              <w:right w:w="12" w:type="dxa"/>
            </w:tcMar>
            <w:vAlign w:val="center"/>
          </w:tcPr>
          <w:p>
            <w:r>
              <w:rPr>
                <w:rFonts w:hint="eastAsia" w:ascii="宋体" w:hAnsi="宋体" w:cs="宋体"/>
                <w:i w:val="0"/>
                <w:color w:val="000000"/>
                <w:kern w:val="0"/>
                <w:sz w:val="20"/>
                <w:szCs w:val="20"/>
                <w:u w:val="none"/>
                <w:lang w:val="en-US" w:eastAsia="zh-CN" w:bidi="ar"/>
              </w:rPr>
              <w:t>121</w:t>
            </w:r>
          </w:p>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嘉绍跨江通道工程竣工财务决算批复的交工时间有误，合同结算编制不规范，竣工决算费用超支1.47亿元。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14"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i w:val="0"/>
                <w:color w:val="000000"/>
                <w:kern w:val="0"/>
                <w:sz w:val="20"/>
                <w:szCs w:val="20"/>
                <w:u w:val="none"/>
                <w:lang w:val="en-US" w:eastAsia="zh-CN" w:bidi="ar"/>
              </w:rPr>
              <w:t>122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r>
              <w:rPr>
                <w:rFonts w:hint="eastAsia" w:ascii="宋体" w:hAnsi="宋体" w:eastAsia="宋体" w:cs="宋体"/>
                <w:i w:val="0"/>
                <w:color w:val="000000"/>
                <w:kern w:val="0"/>
                <w:sz w:val="20"/>
                <w:szCs w:val="20"/>
                <w:u w:val="none"/>
                <w:lang w:val="en-US" w:eastAsia="zh-CN" w:bidi="ar"/>
              </w:rPr>
              <w:t>公路工程造价全过程管理工作有待进一步加强，所有竣工决算项目均未上报造价执行情况报告。</w:t>
            </w:r>
          </w:p>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123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bidi="ar"/>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TJ-2标（第17期）存在不按实际工程进度计量现象，TJ-4标（第16期）存在桩检合格报告滞后于计量的现象，不符合《云南玉楚高速公路投资开发有限公司计量与支付管理办法》。</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0"/>
                <w:u w:val="none"/>
                <w:lang w:val="en-US" w:eastAsia="zh-CN" w:bidi="ar"/>
              </w:rPr>
              <w:t>124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2325"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1909" w:type="dxa"/>
            <w:vMerge w:val="continue"/>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cs="宋体"/>
                <w:color w:val="000000"/>
                <w:kern w:val="0"/>
                <w:sz w:val="20"/>
                <w:lang w:val="en-US" w:eastAsia="zh-CN" w:bidi="ar"/>
              </w:rPr>
            </w:pPr>
            <w:r>
              <w:rPr>
                <w:rFonts w:hint="eastAsia" w:ascii="宋体" w:hAnsi="宋体" w:eastAsia="宋体" w:cs="宋体"/>
                <w:i w:val="0"/>
                <w:color w:val="000000"/>
                <w:kern w:val="0"/>
                <w:sz w:val="20"/>
                <w:szCs w:val="20"/>
                <w:u w:val="none"/>
                <w:lang w:val="en-US" w:eastAsia="zh-CN" w:bidi="ar"/>
              </w:rPr>
              <w:t>项目造价台账不规范，部分台账要素、环节数据缺失，数据关联性、可追溯性差，不能动态反映造价管理情况。项目施工合同工程量清单未报相应交通运输主管部门备案。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96" w:type="dxa"/>
            <w:tcBorders>
              <w:tl2br w:val="nil"/>
              <w:tr2bl w:val="nil"/>
            </w:tcBorders>
            <w:noWrap w:val="0"/>
            <w:tcMar>
              <w:top w:w="12" w:type="dxa"/>
              <w:left w:w="12" w:type="dxa"/>
              <w:right w:w="12" w:type="dxa"/>
            </w:tcMar>
            <w:vAlign w:val="center"/>
          </w:tcPr>
          <w:p>
            <w:pPr>
              <w:widowControl/>
              <w:spacing w:line="360" w:lineRule="exact"/>
              <w:ind w:firstLine="0" w:firstLineChars="0"/>
              <w:jc w:val="center"/>
              <w:textAlignment w:val="center"/>
              <w:rPr>
                <w:rFonts w:hint="eastAsia" w:ascii="宋体" w:hAnsi="宋体" w:eastAsia="宋体" w:cs="宋体"/>
                <w:i w:val="0"/>
                <w:color w:val="000000"/>
                <w:kern w:val="0"/>
                <w:sz w:val="20"/>
                <w:szCs w:val="20"/>
                <w:u w:val="none"/>
                <w:lang w:bidi="ar"/>
              </w:rPr>
            </w:pPr>
            <w:r>
              <w:rPr>
                <w:rFonts w:hint="eastAsia" w:ascii="宋体" w:hAnsi="宋体" w:cs="宋体"/>
                <w:color w:val="000000"/>
                <w:kern w:val="0"/>
                <w:sz w:val="20"/>
                <w:lang w:val="en-US" w:eastAsia="zh-CN" w:bidi="ar"/>
              </w:rPr>
              <w:t>125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pStyle w:val="2"/>
              <w:ind w:firstLine="0"/>
              <w:rPr>
                <w:rFonts w:hint="eastAsia"/>
              </w:rPr>
            </w:pPr>
            <w:r>
              <w:rPr>
                <w:rFonts w:hint="eastAsia" w:ascii="宋体" w:hAnsi="宋体" w:eastAsia="宋体" w:cs="宋体"/>
                <w:i w:val="0"/>
                <w:color w:val="000000"/>
                <w:kern w:val="0"/>
                <w:sz w:val="20"/>
                <w:szCs w:val="20"/>
                <w:u w:val="none"/>
                <w:lang w:val="en-US" w:eastAsia="zh-CN" w:bidi="ar"/>
              </w:rPr>
              <w:t>项目实施过程中，未按要求开展工程投资动态管控分析。</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96" w:type="dxa"/>
            <w:tcBorders>
              <w:tl2br w:val="nil"/>
              <w:tr2bl w:val="nil"/>
            </w:tcBorders>
            <w:noWrap w:val="0"/>
            <w:tcMar>
              <w:top w:w="12" w:type="dxa"/>
              <w:left w:w="12" w:type="dxa"/>
              <w:right w:w="12" w:type="dxa"/>
            </w:tcMar>
            <w:vAlign w:val="center"/>
          </w:tcPr>
          <w:p>
            <w:pPr>
              <w:widowControl/>
              <w:spacing w:line="360" w:lineRule="exact"/>
              <w:ind w:firstLine="0"/>
              <w:jc w:val="center"/>
              <w:textAlignment w:val="center"/>
              <w:rPr>
                <w:rFonts w:hint="default" w:ascii="宋体" w:hAnsi="宋体" w:cs="宋体"/>
                <w:color w:val="000000"/>
                <w:kern w:val="0"/>
                <w:sz w:val="20"/>
                <w:lang w:bidi="ar"/>
              </w:rPr>
            </w:pPr>
            <w:r>
              <w:rPr>
                <w:rFonts w:hint="eastAsia" w:ascii="宋体" w:hAnsi="宋体" w:cs="宋体"/>
                <w:i w:val="0"/>
                <w:color w:val="000000"/>
                <w:kern w:val="0"/>
                <w:sz w:val="20"/>
                <w:szCs w:val="20"/>
                <w:u w:val="none"/>
                <w:lang w:val="en-US" w:eastAsia="zh-CN" w:bidi="ar"/>
              </w:rPr>
              <w:t>126</w:t>
            </w:r>
          </w:p>
        </w:tc>
        <w:tc>
          <w:tcPr>
            <w:tcW w:w="1252" w:type="dxa"/>
            <w:vMerge w:val="continue"/>
            <w:tcBorders>
              <w:tl2br w:val="nil"/>
              <w:tr2bl w:val="nil"/>
            </w:tcBorders>
            <w:noWrap w:val="0"/>
            <w:tcMar>
              <w:top w:w="12" w:type="dxa"/>
              <w:left w:w="12" w:type="dxa"/>
              <w:right w:w="12" w:type="dxa"/>
            </w:tcMar>
            <w:vAlign w:val="center"/>
          </w:tcPr>
          <w:p>
            <w:pPr>
              <w:pStyle w:val="2"/>
              <w:ind w:firstLine="0"/>
            </w:pPr>
          </w:p>
        </w:tc>
        <w:tc>
          <w:tcPr>
            <w:tcW w:w="1837" w:type="dxa"/>
            <w:vMerge w:val="continue"/>
            <w:tcBorders>
              <w:tl2br w:val="nil"/>
              <w:tr2bl w:val="nil"/>
            </w:tcBorders>
            <w:noWrap w:val="0"/>
            <w:tcMar>
              <w:top w:w="12" w:type="dxa"/>
              <w:left w:w="12" w:type="dxa"/>
              <w:right w:w="12" w:type="dxa"/>
            </w:tcMar>
            <w:vAlign w:val="center"/>
          </w:tcPr>
          <w:p>
            <w:pPr>
              <w:pStyle w:val="2"/>
              <w:ind w:firstLine="0"/>
            </w:pPr>
          </w:p>
        </w:tc>
        <w:tc>
          <w:tcPr>
            <w:tcW w:w="2325" w:type="dxa"/>
            <w:vMerge w:val="continue"/>
            <w:tcBorders>
              <w:tl2br w:val="nil"/>
              <w:tr2bl w:val="nil"/>
            </w:tcBorders>
            <w:noWrap w:val="0"/>
            <w:tcMar>
              <w:top w:w="12" w:type="dxa"/>
              <w:left w:w="12" w:type="dxa"/>
              <w:right w:w="12" w:type="dxa"/>
            </w:tcMar>
            <w:vAlign w:val="center"/>
          </w:tcPr>
          <w:p>
            <w:pPr>
              <w:pStyle w:val="2"/>
              <w:ind w:firstLine="0"/>
            </w:pPr>
          </w:p>
        </w:tc>
        <w:tc>
          <w:tcPr>
            <w:tcW w:w="1909" w:type="dxa"/>
            <w:vMerge w:val="continue"/>
            <w:tcBorders>
              <w:tl2br w:val="nil"/>
              <w:tr2bl w:val="nil"/>
            </w:tcBorders>
            <w:noWrap w:val="0"/>
            <w:tcMar>
              <w:top w:w="12" w:type="dxa"/>
              <w:left w:w="12" w:type="dxa"/>
              <w:right w:w="12" w:type="dxa"/>
            </w:tcMar>
            <w:vAlign w:val="center"/>
          </w:tcPr>
          <w:p>
            <w:pPr>
              <w:pStyle w:val="2"/>
              <w:ind w:firstLine="0"/>
            </w:pPr>
          </w:p>
        </w:tc>
        <w:tc>
          <w:tcPr>
            <w:tcW w:w="5963" w:type="dxa"/>
            <w:tcBorders>
              <w:tl2br w:val="nil"/>
              <w:tr2bl w:val="nil"/>
            </w:tcBorders>
            <w:noWrap w:val="0"/>
            <w:tcMar>
              <w:top w:w="12" w:type="dxa"/>
              <w:left w:w="12" w:type="dxa"/>
              <w:right w:w="12" w:type="dxa"/>
            </w:tcMar>
            <w:vAlign w:val="center"/>
          </w:tcPr>
          <w:p>
            <w:pPr>
              <w:pStyle w:val="2"/>
              <w:ind w:firstLine="0"/>
              <w:rPr>
                <w:rFonts w:hint="eastAsia"/>
                <w:lang w:val="en-US" w:eastAsia="zh-CN"/>
              </w:rPr>
            </w:pPr>
            <w:r>
              <w:rPr>
                <w:rFonts w:hint="eastAsia" w:ascii="宋体" w:hAnsi="宋体" w:eastAsia="宋体" w:cs="宋体"/>
                <w:i w:val="0"/>
                <w:color w:val="000000"/>
                <w:kern w:val="0"/>
                <w:sz w:val="20"/>
                <w:szCs w:val="20"/>
                <w:u w:val="none"/>
                <w:lang w:val="en-US" w:eastAsia="zh-CN" w:bidi="ar"/>
              </w:rPr>
              <w:t>项目造价台账不规范，部分台账要素、环节数据缺失，数据关联性、可追溯性差，不能动态反映造价管理情况。项目施工合同工程量清单未报相应交通运输主管部门备案。</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127</w:t>
            </w:r>
          </w:p>
        </w:tc>
        <w:tc>
          <w:tcPr>
            <w:tcW w:w="125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信用管理方面</w:t>
            </w: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2019年度浙江省信用评价结果区分度不高。其中：设计36家全部为AA级；施工196家企业，AA级114家，A级82家，AA级占比58%；监理共54家，AA级占比37%。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128</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宁波舟山港主通道工程</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浙江舟山北向大通道有限公司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建设单位信用评价工作不规范，以从业单位考核排名代替信用台账管理，且未记录考核排名有关扣分的详细依据。</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44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129</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信用评价数据不准确。在全国公路建设市场信用信息管理系统上填报的2019年度设计、施工单位信用评价数据不准确，出现系统填报的合同额、省内得分等与文件上报内容不一致的问题，共11条数据。2019年度监理单位信用评价前后3次向部提出申请将6个监理标段删除或补录系统。</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130</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S20平江（湘赣界）至伍市高速公路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湖南省平益高速公路建设开发有限公司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信用管理不规范，平伍高速对监理单位信用管理台账更新不及时。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131</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G319/S109浏阳集里至蕉溪公路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浏阳市交通建设投资有限公司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用管理不规范，集蕉公路建设单位工作人员对信用管理业务不熟悉，信用管理相关资料整理混乱，2018年至今监理单位信用管理台账未存档，未按照《湖南省公路水运工程施工企业信用评价实施细则》（湘交基建规〔2020〕10号）开展第三季度施工单位信用评价并建立信用管理台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10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132</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G8012玉溪至楚雄高速公路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云南玉楚高速公路投资开发有限公司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未建立施工单位信用管理台账，未按《云南省公路施工企业信用评价实施细则（试行）》开展2020年6月施工单位信用评价；未严格按照有关规定对设计、施工单位开展信用评价工作，2018年、2019年建设单位对设计单位信用评分均为100分，2019年建设单位对施工单位信用评分，除个别标得分99分外，其余均为100分；未按要求在设计、监理招标结束后及时开展投标行为信用评价并报省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44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133</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S91武定至倘甸至寻甸高速公路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南武倘寻高速公路有限责任公司关于印发武定至倘旬至寻甸高速公路工程信用评价管理制度的通知》（武倘寻发〔2018〕53号）第六条对施工单位的信用评价频率（每年开展一次）与《云南省公路施工企业信用评价实施细则（试行）》规定（每年6月、12月各开展一次）不一致，且对设计、施工信用评价等级分值划分前后存在矛盾（95分同时存在AA、A级范围中，85分同时存在A、B级范围中，75分同时存在B、C级范围中）。建设单位未建立设计、施工单位信用管理台账。</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167"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134</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甘肃省</w:t>
            </w: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S32临夏至大河家高速公路</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甘肃路桥公路投资有限公司</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建设单位对施工企业信用评价扣分不规范，对同一份检查结果中发现的问题，仅对“内业资料不全”“现场管理混乱”等问题进行扣分，对安全生产、质量管理、人员履约等问题未按规定进行扣分。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135</w:t>
            </w:r>
          </w:p>
        </w:tc>
        <w:tc>
          <w:tcPr>
            <w:tcW w:w="1252"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1837" w:type="dxa"/>
            <w:vMerge w:val="continue"/>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color w:val="000000"/>
                <w:sz w:val="20"/>
                <w:szCs w:val="20"/>
                <w:u w:val="none"/>
              </w:rPr>
            </w:pPr>
          </w:p>
        </w:tc>
        <w:tc>
          <w:tcPr>
            <w:tcW w:w="232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X040广河县对康至槐山顶公路改建工程</w:t>
            </w:r>
          </w:p>
        </w:tc>
        <w:tc>
          <w:tcPr>
            <w:tcW w:w="1909"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广河县交通运输局</w:t>
            </w:r>
          </w:p>
        </w:tc>
        <w:tc>
          <w:tcPr>
            <w:tcW w:w="596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广河县农村公路项目未建立信用管理台账，从业单位主要人员更换后，未按规定进行扣分。</w:t>
            </w:r>
          </w:p>
        </w:tc>
      </w:tr>
    </w:tbl>
    <w:p>
      <w:pPr>
        <w:rPr>
          <w:rFonts w:hint="eastAsia" w:ascii="仿宋_GB2312" w:hAnsi="仿宋_GB2312" w:eastAsia="仿宋_GB2312"/>
          <w:b w:val="0"/>
          <w:i w:val="0"/>
          <w:caps w:val="0"/>
          <w:smallCaps w:val="0"/>
          <w:strike w:val="0"/>
          <w:dstrike w:val="0"/>
          <w:snapToGrid/>
          <w:vanish w:val="0"/>
          <w:spacing w:val="0"/>
          <w:w w:val="100"/>
          <w:kern w:val="0"/>
          <w:position w:val="0"/>
          <w:sz w:val="32"/>
          <w:u w:val="none" w:color="000000"/>
          <w:lang w:eastAsia="zh-CN"/>
        </w:rPr>
      </w:pPr>
    </w:p>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45ADD"/>
    <w:rsid w:val="6494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lang w:val="en-US" w:eastAsia="zh-CN"/>
    </w:rPr>
  </w:style>
  <w:style w:type="paragraph" w:styleId="2">
    <w:name w:val="heading 1"/>
    <w:basedOn w:val="1"/>
    <w:next w:val="1"/>
    <w:qFormat/>
    <w:uiPriority w:val="0"/>
    <w:pPr>
      <w:ind w:firstLine="645"/>
      <w:outlineLvl w:val="0"/>
    </w:pPr>
    <w:rPr>
      <w:rFonts w:ascii="黑体" w:hAnsi="Calibri" w:eastAsia="黑体"/>
      <w:sz w:val="32"/>
      <w:szCs w:val="32"/>
      <w:lang w:val="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2021-03-15T06:13:00Z</dcterms:created>
  <dc:creator>毅力猛牛</dc:creator>
  <cp:lastModifiedBy>毅力猛牛</cp:lastModifiedBy>
  <dcterms:modified xsi:type="dcterms:W3CDTF">2021-03-15T06:14:16Z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