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t>交通运输部关于修改《危险货物水路运输从业人员考核和从业资格管理规定》和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t>《海上船舶污染事故调查处理规定》的决定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t>（征求意见稿）的起草说明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2"/>
        <w:widowControl w:val="0"/>
        <w:wordWrap/>
        <w:adjustRightInd w:val="0"/>
        <w:snapToGrid w:val="0"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一、修改必要性</w:t>
      </w:r>
    </w:p>
    <w:p>
      <w:pPr>
        <w:pStyle w:val="2"/>
        <w:widowControl w:val="0"/>
        <w:wordWrap/>
        <w:adjustRightInd w:val="0"/>
        <w:snapToGrid w:val="0"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根据国办有关通知要求，结合当前交通运输执法领域突出问题专项整治行动工作需要，我部组织开展了“与行政处罚法不相符清理”和“不合理罚款规定清理”工作。根据清理工作安排，拟修改《危险货物水路运输从业人员考核和从业资格管理规定》和《海上船舶污染事故调查处理规定》。</w:t>
      </w:r>
    </w:p>
    <w:p>
      <w:pPr>
        <w:pStyle w:val="2"/>
        <w:widowControl w:val="0"/>
        <w:wordWrap/>
        <w:adjustRightInd w:val="0"/>
        <w:snapToGrid w:val="0"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二、修改主要情况</w:t>
      </w:r>
    </w:p>
    <w:p>
      <w:pPr>
        <w:pStyle w:val="2"/>
        <w:widowControl w:val="0"/>
        <w:wordWrap/>
        <w:adjustRightInd w:val="0"/>
        <w:snapToGrid w:val="0"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一是，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对《危险货物水路运输从业人员考核和从业资格管理规定》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中未按规定报送信息的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违法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行为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进行区分，设置一定裁量幅度，视情节轻重给予不同罚额，对某些轻微违法行为视情可不予罚款。</w:t>
      </w:r>
      <w:bookmarkStart w:id="0" w:name="_GoBack"/>
      <w:bookmarkEnd w:id="0"/>
    </w:p>
    <w:p>
      <w:pPr>
        <w:pStyle w:val="2"/>
        <w:widowControl w:val="0"/>
        <w:wordWrap/>
        <w:adjustRightInd w:val="0"/>
        <w:snapToGrid w:val="0"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二是，因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《海上船舶污染事故调查处理规定》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 w:bidi="ar-SA"/>
        </w:rPr>
        <w:t>制定时间较早、近些年又未经修订，根据上位法相应调整有关处罚规定。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82B57"/>
    <w:rsid w:val="1C773684"/>
    <w:rsid w:val="32194CDF"/>
    <w:rsid w:val="44551153"/>
    <w:rsid w:val="4905579F"/>
    <w:rsid w:val="49FE79E7"/>
    <w:rsid w:val="5AD02569"/>
    <w:rsid w:val="5C582B57"/>
    <w:rsid w:val="611C2B8D"/>
    <w:rsid w:val="713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eastAsia" w:ascii="仿宋" w:hAnsi="仿宋" w:eastAsia="仿宋" w:cs="仿宋"/>
      <w:kern w:val="0"/>
      <w:sz w:val="2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2021-07-21T23:42:00Z</dcterms:created>
  <dc:creator>moc</dc:creator>
  <cp:lastModifiedBy>moc</cp:lastModifiedBy>
  <cp:lastPrinted>2021-07-26T02:26:21Z</cp:lastPrinted>
  <dcterms:modified xsi:type="dcterms:W3CDTF">2021-07-26T02:45:52Z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