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0" w:afterLines="-2147483648" w:line="240" w:lineRule="auto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交通运输行业</w:t>
      </w:r>
    </w:p>
    <w:p>
      <w:pPr>
        <w:widowControl/>
        <w:spacing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专业标准化技术委员会管理办法</w:t>
      </w:r>
      <w:bookmarkEnd w:id="0"/>
    </w:p>
    <w:p>
      <w:pPr>
        <w:widowControl/>
        <w:spacing w:after="0" w:afterLines="0"/>
        <w:ind w:right="84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2"/>
        <w:spacing w:before="156" w:beforeLines="50" w:after="156" w:afterLines="50" w:line="58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32"/>
          <w:szCs w:val="32"/>
        </w:rPr>
        <w:t>第一章 总则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加强交通运输行业专业标准化技术委员会（以下简称标委会）管理，科学公正有序开展交通运输标准化工作，构建推动高质量发展的标准体系，根据《中华人民共和国标准化法》《中华人民共和国标准化法实施条例》《全国专业标准化技术委员会管理办法》《交通运输标准化管理办法》，制定本办法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标委会是在综合交通运输和公路、水路领域内，从事行业标准起草和技术审查等标准化工作的非法人技术组织，可接受委托开展国家标准的起草和技术审查等标准化工作。</w:t>
      </w:r>
    </w:p>
    <w:p>
      <w:pPr>
        <w:widowControl/>
        <w:spacing w:before="0" w:beforeLines="0" w:after="0" w:afterLines="0" w:line="580" w:lineRule="exact"/>
        <w:ind w:left="-69" w:leftChars="-33"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本办法适用于标委会的组建、换届、调整和监督管理。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交通运输部负责标委会的统一管理。</w:t>
      </w:r>
    </w:p>
    <w:p>
      <w:pPr>
        <w:pStyle w:val="7"/>
        <w:widowControl/>
        <w:numPr>
          <w:ilvl w:val="0"/>
          <w:numId w:val="2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制定标委会管理相关的政策和制度；</w:t>
      </w:r>
    </w:p>
    <w:p>
      <w:pPr>
        <w:pStyle w:val="7"/>
        <w:widowControl/>
        <w:numPr>
          <w:ilvl w:val="0"/>
          <w:numId w:val="2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规划标委会整体建设布局；</w:t>
      </w:r>
    </w:p>
    <w:p>
      <w:pPr>
        <w:pStyle w:val="7"/>
        <w:widowControl/>
        <w:numPr>
          <w:ilvl w:val="0"/>
          <w:numId w:val="2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协调和决定标委会的组建、换届、调整、撤销、注销等事项。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交通运输部标准化主管部门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以下简称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组织实施标委会规划、协调、组建和管理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履行以下职责：</w:t>
      </w:r>
    </w:p>
    <w:p>
      <w:pPr>
        <w:pStyle w:val="7"/>
        <w:widowControl/>
        <w:numPr>
          <w:ilvl w:val="0"/>
          <w:numId w:val="3"/>
        </w:numPr>
        <w:spacing w:before="0" w:beforeLines="0" w:after="0" w:afterLines="0"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指导标委会开展标准制修订和标准国际交流与合作等工作；</w:t>
      </w:r>
    </w:p>
    <w:p>
      <w:pPr>
        <w:pStyle w:val="7"/>
        <w:widowControl/>
        <w:numPr>
          <w:ilvl w:val="0"/>
          <w:numId w:val="3"/>
        </w:numPr>
        <w:spacing w:before="0" w:beforeLines="0" w:after="0" w:afterLines="0"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监督、检查和考核标委会的工作；</w:t>
      </w:r>
    </w:p>
    <w:p>
      <w:pPr>
        <w:pStyle w:val="7"/>
        <w:widowControl/>
        <w:numPr>
          <w:ilvl w:val="0"/>
          <w:numId w:val="3"/>
        </w:numPr>
        <w:spacing w:before="0" w:beforeLines="0" w:after="0" w:afterLines="0"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组织标委会相关人员的培训；</w:t>
      </w:r>
    </w:p>
    <w:p>
      <w:pPr>
        <w:pStyle w:val="7"/>
        <w:widowControl/>
        <w:numPr>
          <w:ilvl w:val="0"/>
          <w:numId w:val="3"/>
        </w:numPr>
        <w:spacing w:before="0" w:beforeLines="0" w:after="0" w:afterLines="0"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其他与标委会管理有关的职责。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交通运输部有关业务管理部门（以下简称业务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）负责本专业领域相关标委会的业务指导。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标委会应当科学合理、公开公正、规范透明地开展工作，在本专业领域内履行以下职责：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提出标准化工作的计划和措施建议；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编制标准体系，提出标准制修订项目和标准化研究项目建议；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组织开展标准的起草、征求意见、技术审查、复审及标准外文版的翻译和审查工作；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组织开展标准宣贯工作；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开展标准起草人员的培训工作；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标准化主管部门委托，承担归口标准的解释工作；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组织开展标准实施情况的评估、研究分析；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组织开展本领域国内外标准一致性比对分析，跟踪、研究相关领域国际标准化的发展趋势和工作动态；</w:t>
      </w:r>
    </w:p>
    <w:p>
      <w:pPr>
        <w:pStyle w:val="7"/>
        <w:widowControl/>
        <w:numPr>
          <w:ilvl w:val="0"/>
          <w:numId w:val="4"/>
        </w:numPr>
        <w:spacing w:before="0" w:beforeLines="0" w:after="0" w:afterLines="0" w:line="580" w:lineRule="exact"/>
        <w:ind w:left="0" w:firstLine="42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标准化主管部门和业务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交办的其他工作。</w:t>
      </w:r>
    </w:p>
    <w:p>
      <w:pPr>
        <w:pStyle w:val="2"/>
        <w:spacing w:before="156" w:beforeLines="50" w:after="156" w:afterLines="50" w:line="58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32"/>
          <w:szCs w:val="32"/>
        </w:rPr>
        <w:t>第二章 组织机构和职责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标委会委员组成应当具有广泛性和代表性，可来自生产者、经营者、使用者、消费者、公共利益方等相关方。来自任意一方的委员人数不得超过委员总数的1/2。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教育科研机构、有关行政主管部门、检测及认证机构、社会团体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等可以作为公共利益方代表。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标委会委员不少于25人，其中主任委员1名，副主任委员不超过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名。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同一单位在同一标委会任职的委员不得超过3名。主任委员和副主任委员不得来自同一单位。同一人不得同时在3个以上全国和行业专业标准化技术委员会担任委员。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标委会委员应当具备以下条件：</w:t>
      </w:r>
    </w:p>
    <w:p>
      <w:pPr>
        <w:pStyle w:val="7"/>
        <w:widowControl/>
        <w:numPr>
          <w:ilvl w:val="0"/>
          <w:numId w:val="5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具有中级以上专业技术职称，或者具有与中级以上专业技术职称相对应的职务；</w:t>
      </w:r>
    </w:p>
    <w:p>
      <w:pPr>
        <w:pStyle w:val="7"/>
        <w:widowControl/>
        <w:numPr>
          <w:ilvl w:val="0"/>
          <w:numId w:val="5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熟悉本专业领域业务工作，具有较高理论水平、扎实的专业知识和丰富的实践经验；</w:t>
      </w:r>
    </w:p>
    <w:p>
      <w:pPr>
        <w:pStyle w:val="7"/>
        <w:widowControl/>
        <w:numPr>
          <w:ilvl w:val="0"/>
          <w:numId w:val="5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掌握标准化基础知识和工作程序，热心标准化事业，能积极参加标准化活动，认真履行委员各项职责和义务；</w:t>
      </w:r>
    </w:p>
    <w:p>
      <w:pPr>
        <w:pStyle w:val="7"/>
        <w:widowControl/>
        <w:numPr>
          <w:ilvl w:val="0"/>
          <w:numId w:val="5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在我国境内依法设立的法人组织任职的人员，并经其任职单位同意推荐；</w:t>
      </w:r>
    </w:p>
    <w:p>
      <w:pPr>
        <w:pStyle w:val="7"/>
        <w:widowControl/>
        <w:numPr>
          <w:ilvl w:val="0"/>
          <w:numId w:val="5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标委会章程规定的其他条件。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主任委员和副主任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委员应熟悉标委会管理程序和工作流程，能够高效、公正履行职责，并能兼顾各方利益。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主任委员负责标委会全面工作，签发会议决议、标准报批文件等标委会重要文件。主任委员可以委托副主任委员签发标准报批文件等重要文件。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标委会秘书处负责标委会的日常工作。秘书处承担单位应当符合以下条件：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在我国境内依法设立、具有独立法人资格的企事业单位或者社会团体；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有较强的技术实力和行业影响力；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有连续3年以上开展标准化工作的经验；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将秘书处工作纳入本单位工作计划和日常工作，并为秘书处开展工作提供必要的专职人员、经费和办公条件；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标准化主管部门规定的其他条件。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秘书处具体职责和工作制度，由标委会章程和秘书处工作细则规定。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两个单位联合承担秘书处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工作的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，应当在秘书处工作细则中明确牵头承担单位及各自职责。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标委会秘书处设秘书长1名，副秘书长不超过5名。秘书长和副秘书长应当由委员兼任，不得来自同一单位。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秘书长应当由秘书处承担单位技术专家担任，具有较强的组织协调能力，熟悉本领域技术发展情况以及国内外标准化工作情况，具有连续3年以上标准化工作经历。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秘书长负责标委会秘书处日常工作，副秘书长协助秘书长开展工作。秘书长和副秘书长具体职责由标委会章程规定。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标委会委员应当积极参加标委会的活动，享有表决权，有权获取标委会的资料和文件，并履行以下职责：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提出标准制修订等方面的工作建议；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按时参加标准技术审查和标准复审，按时参加标委会年会等工作会议；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履行委员投票表决义务；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监督主任委员、副主任委员、秘书长、副秘书长及秘书处的工作；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监督标委会经费的使用；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及时反馈标委会归口管理标准实施情况；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参与本专业领域标准国际化工作；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标准化主管部门及标委会组织的培训；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709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承担标委会职责范围内的相关工作；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709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标委会章程规定的其他职责。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根据工作需要，标委会可以设顾问和观察员，均无表决权，其条件和职责由标委会章程规定。顾问应当是本专业领域的专家或学者。顾问和观察员可以获得标委会的资料和文件，列席标委会会议、发表意见、提出建议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专业领域相关联的标委会之间应当建立联络关系，协调相关技术问题。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标委会应当每年至少召开一次年会，总结上年度工作，安排下年度计划，通报经费使用情况等。全体委员应当参加年会。标委会可以根据需要不定期召开会议，研究处理相关工作。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以下事项应当由秘书处提交委员审议，并形成会议纪要：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1701" w:hanging="1134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标委会章程和秘书处工作细则；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1701" w:hanging="1134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工作计划；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1701" w:hanging="1134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本专业领域标准体系；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1701" w:hanging="1134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标准制修订和研究项目立项建议；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1701" w:hanging="1134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标准送审稿；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标委会章程规定应当审议的经费使用情况等其他事项。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（五）事项审议表决时，参加投票的委员不得少于3/4。参加投票委员2/3以上赞成，且反对意见不超过参加投票委员的1/4，方为通过。表决结果应当形成决议，由秘书处存档。工程建设标准审查管理另有规定的，从其规定。</w:t>
      </w:r>
    </w:p>
    <w:p>
      <w:pPr>
        <w:pStyle w:val="2"/>
        <w:spacing w:before="156" w:beforeLines="50" w:after="156" w:afterLines="50" w:line="58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32"/>
          <w:szCs w:val="32"/>
        </w:rPr>
        <w:t>第三章 组建、换届、调整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标委会组建应当遵循发展需要、科学合理、公开公正、国际接轨的原则。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标委会的组建应当符合以下条件：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符合交通运输行业标准化发展战略、规划要求；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业务范围明晰，与其他技术委员会无业务交叉；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标准体系框架明确，有较多的标准制修订工作需求；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秘书处承担单位具备第十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条规定的能力和条件。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标委会的组建程序包括遴选、公示、筹建、成立。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按照标委会整体建设布局，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标准化主管部门会同业务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组织遴选标委会秘书处承担单位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审核筹建材料。筹建材料包括：筹建标委会的必要性、可行性、工作范围、标准体系、国内外相关技术组织情况、秘书处承担单位有关情况等。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符合条件的，由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标准化主管部门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对外公示秘书处承担单位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信息，公示期为30日。公示期届满，符合要求的，进行筹建。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秘书处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承担单位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应当在同意筹建后6个月内公开征集委员，向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标准化主管部门和业务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报送组建方案。组建方案应当包括：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标委会登记表（格式见附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1）；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标委会委员登记表（格式见附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2）及汇总表；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标委会章程草案，包括工作原则、范围、任务、程序，秘书处职责，委员、顾问、观察员的条件和职责，经费管理制度等；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秘书处工作细则草案，包括工作原则、秘书处工作人员条件和职责、会议制度、文件制度、档案制度、财务制度等；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标准体系框架及标准明细表草案；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秘书处承担单位支持措施；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未来3年工作规划以及下一年度工作计划草案；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标准化主管部门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规定的其他内容。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标准化主管部门应当将标委会委员名单向社会公示，公示期为30日。公示期届满，符合要求的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公告成立。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标委会每届任期5年，任期届满应当换届。换届前应当公开征集委员，标委会秘书处于标委会任期届满前3个月将换届方案报送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标准化主管部门和业务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标准化主管部门按照第二十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条有关规定进行公示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公示期届满，符合要求的，予以换届。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标委会可根据工作需要，结合业务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意见提出委员调整的建议，并报送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。符合要求的，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予以调整。委员调整原则上每年不得超过一次，每次调整不得超过委员总数的1/5。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根据标委会整体规划需要，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可以调整标委会工作范围、名称、秘书处承担单位等。对标准化工作需求很少或者相关工作可并入其他标委会的，予以注销。</w:t>
      </w:r>
    </w:p>
    <w:p>
      <w:pPr>
        <w:pStyle w:val="2"/>
        <w:spacing w:before="156" w:beforeLines="50" w:after="156" w:afterLines="50" w:line="58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32"/>
          <w:szCs w:val="32"/>
        </w:rPr>
        <w:t>第四章 监督管理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标准化主管部门应当对标委会进行监督检查。建立标委会考核评估制度，定期对标委会工作进行考核评估，并将考核评估结果向社会公开。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标委会应当建立内部监督检查制度，加强自律管理，并接受社会监督。任何单位和个人可以向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标准化主管部门举报、投诉标委会、委员和秘书处违反本办法的行为。经查证属实的，由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作出处理决定。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标委会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秘书处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承担单位应当严格按照有关财务制度的规定，将标委会的工作经费纳入单位财务统一管理，单独核算，规范使用，专款专用。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标委会印章由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部门归口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管理。标委会撤销、注销、变更名称时，应当将原印章交还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，移交档案管理部门归档保存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标委会印章属于业务专用章，在开展本专业领域标准化工作时使用，主要用于上报材料、请示工作、征求意见、召开会议、对外联络以及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标准化主管部门规定的其他事项，不得超范围使用。印章使用需经标委会主任委员或者其授权的副主任委员签字批准。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标委会应当每年向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标准化主管部门和业务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报送年度工作报告。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标委会应当按照有关规定管理标准档案。标委会日常工作的文件材料应当及时归档，妥善保管，保管期限不得少于5年。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标委会有下列情形之一的，责令其限期整改，情节严重予以通报：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626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未按计划完成标准制修订和复审任务，且无正当理由的；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626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标准存在质量问题的；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626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连续两年没有标准制修订任务的；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626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未按规定使用和管理经费的；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626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未按规定使用标委会印章的；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考核评估不合格的；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626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存在其他违规行为的。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限期整改期间，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标准化主管部门不再向其下达新的工作任务。整改期满后仍不符合要求的，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可以视情况调整秘书处承担单位或者重新组建、撤销标委会。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被撤销的标委会的工作并入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指定的专业标准化技术委员会。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标委会有下列情形之一的，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重新组建：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排斥相关方参与标准制修订活动、为少数相关方谋取不正当利益，严重影响标准制修订工作的公正、公平的；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在工作中有弄虚作假行为的；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连续三年不开展工作的；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存在其他重大违法违规行为的。</w:t>
      </w:r>
    </w:p>
    <w:p>
      <w:pPr>
        <w:widowControl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重新组建期间，标委会停止一切活动。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标委会秘书处承担单位有下列情形之一的，对秘书处承担单位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调整：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秘书处工作不力，致使标委会无法正常开展工作的；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利用标委会工作为本单位或者相关方谋取不正当利益的；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未按规定使用和管理经费，情节严重的；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存在其他重大违规行为的。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委员有下列情形之一的，由标委会报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标准化主管部门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撤销委员资格：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未履行本办法和标委会章程规定的职责的；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连续两次不参加投票表决的；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连续两次无正当理由不参加标委会会议的；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利用委员身份为本人或者他人谋取不正当利益的；</w:t>
      </w:r>
    </w:p>
    <w:p>
      <w:pPr>
        <w:pStyle w:val="7"/>
        <w:widowControl/>
        <w:numPr>
          <w:ilvl w:val="1"/>
          <w:numId w:val="1"/>
        </w:numPr>
        <w:spacing w:before="0" w:beforeLines="0" w:after="0" w:afterLines="0" w:line="580" w:lineRule="exact"/>
        <w:ind w:left="0" w:firstLine="567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存在违法违纪行为的。</w:t>
      </w:r>
    </w:p>
    <w:p>
      <w:pPr>
        <w:pStyle w:val="2"/>
        <w:spacing w:before="156" w:beforeLines="50" w:after="156" w:afterLines="50" w:line="58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32"/>
          <w:szCs w:val="32"/>
        </w:rPr>
        <w:t>第五章 附则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</w:rPr>
        <w:t>国家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铁路局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0"/>
        </w:rPr>
        <w:t>、中国民用航空局、国家邮政局可以参照本办法制定铁路、民航、邮政领域标委会管理的有关具体管理规定。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本办法由交通运输部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标准化主管部门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负责解释。</w:t>
      </w:r>
    </w:p>
    <w:p>
      <w:pPr>
        <w:pStyle w:val="7"/>
        <w:widowControl/>
        <w:numPr>
          <w:ilvl w:val="0"/>
          <w:numId w:val="1"/>
        </w:numPr>
        <w:spacing w:before="0" w:beforeLines="0" w:after="0" w:afterLines="0"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本办法自2020年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日起施行。</w:t>
      </w:r>
    </w:p>
    <w:p>
      <w:pPr>
        <w:widowControl/>
        <w:spacing w:line="580" w:lineRule="exact"/>
        <w:ind w:firstLine="0" w:firstLineChars="0"/>
        <w:jc w:val="left"/>
        <w:rPr>
          <w:rFonts w:ascii="Times New Roman" w:eastAsia="方正小标宋简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1</w:t>
      </w:r>
    </w:p>
    <w:p>
      <w:pPr>
        <w:spacing w:before="156" w:beforeLines="50" w:after="0" w:afterLines="0" w:line="5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交通运输行业专业标准化技术委员会登记表</w:t>
      </w:r>
    </w:p>
    <w:p>
      <w:pPr>
        <w:spacing w:after="0" w:afterLines="0" w:line="240" w:lineRule="auto"/>
        <w:ind w:firstLine="198"/>
        <w:jc w:val="center"/>
        <w:rPr>
          <w:rFonts w:ascii="Times New Roman" w:hAnsi="Times New Roman" w:eastAsia="方正小标宋简体"/>
          <w:color w:val="auto"/>
          <w:sz w:val="10"/>
          <w:szCs w:val="10"/>
        </w:rPr>
      </w:pPr>
    </w:p>
    <w:tbl>
      <w:tblPr>
        <w:tblStyle w:val="5"/>
        <w:tblW w:w="8522" w:type="dxa"/>
        <w:jc w:val="center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77"/>
        <w:gridCol w:w="865"/>
        <w:gridCol w:w="528"/>
        <w:gridCol w:w="462"/>
        <w:gridCol w:w="1097"/>
        <w:gridCol w:w="1224"/>
        <w:gridCol w:w="688"/>
        <w:gridCol w:w="753"/>
        <w:gridCol w:w="15"/>
        <w:gridCol w:w="26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标委会名称</w:t>
            </w:r>
          </w:p>
        </w:tc>
        <w:tc>
          <w:tcPr>
            <w:tcW w:w="41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对口国际组织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本届是第几届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本届成立时间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第一届成立时间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筹建单位</w:t>
            </w:r>
          </w:p>
        </w:tc>
        <w:tc>
          <w:tcPr>
            <w:tcW w:w="5568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业务管理部门</w:t>
            </w:r>
          </w:p>
        </w:tc>
        <w:tc>
          <w:tcPr>
            <w:tcW w:w="5568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秘书处承担单位名称</w:t>
            </w:r>
          </w:p>
        </w:tc>
        <w:tc>
          <w:tcPr>
            <w:tcW w:w="5568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秘书处承担单位统一社会信用代码（或组织机构代码）</w:t>
            </w:r>
          </w:p>
        </w:tc>
        <w:tc>
          <w:tcPr>
            <w:tcW w:w="5568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38" w:type="dxa"/>
            <w:gridSpan w:val="11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1.国有企业2.民营企业3.科研院所4.大专院校5.行业协会6.政府机构7.外商独资企业8.中外合资、中外合作或外方控股企业9.其他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秘书处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3129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2785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传    真</w:t>
            </w:r>
          </w:p>
        </w:tc>
        <w:tc>
          <w:tcPr>
            <w:tcW w:w="3129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委员数</w:t>
            </w:r>
          </w:p>
        </w:tc>
        <w:tc>
          <w:tcPr>
            <w:tcW w:w="2785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顾问数</w:t>
            </w:r>
          </w:p>
        </w:tc>
        <w:tc>
          <w:tcPr>
            <w:tcW w:w="3129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观察员数</w:t>
            </w:r>
          </w:p>
        </w:tc>
        <w:tc>
          <w:tcPr>
            <w:tcW w:w="2785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秘书处工作</w:t>
            </w: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人员情况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秘书长</w:t>
            </w: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或秘书</w:t>
            </w: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专兼职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出生</w:t>
            </w: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7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外语语种和</w:t>
            </w: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852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负责制修订国家、行业标准的专业领域</w:t>
            </w: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（简要描述）</w:t>
            </w: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napToGrid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7" w:hRule="atLeast"/>
          <w:jc w:val="center"/>
        </w:trPr>
        <w:tc>
          <w:tcPr>
            <w:tcW w:w="852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/>
              <w:spacing w:before="100" w:beforeLines="0" w:after="100" w:afterLines="0" w:line="240" w:lineRule="auto"/>
              <w:ind w:firstLine="0" w:firstLine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秘书处承担单位意见</w:t>
            </w:r>
          </w:p>
          <w:p>
            <w:pPr>
              <w:widowControl w:val="0"/>
              <w:snapToGrid/>
              <w:spacing w:before="100" w:beforeLines="0" w:after="100" w:afterLines="0" w:line="240" w:lineRule="auto"/>
              <w:ind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承诺将秘书处工作纳入本单位工作计划和日常工作，并为秘书处开展工作提供必要的经费和办公条件，有专职工作人员，能够督促秘书处专职工作人员认真履行职责，确保秘书处各项工作公正、公平地开展。</w:t>
            </w:r>
          </w:p>
          <w:p>
            <w:pPr>
              <w:widowControl w:val="0"/>
              <w:snapToGrid/>
              <w:spacing w:before="100" w:beforeLines="0" w:after="100" w:afterLines="0" w:line="240" w:lineRule="auto"/>
              <w:ind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righ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负责人签名：                （加盖单位公章）</w:t>
            </w:r>
          </w:p>
          <w:p>
            <w:pPr>
              <w:widowControl w:val="0"/>
              <w:snapToGrid/>
              <w:spacing w:before="100" w:beforeLines="0" w:after="100" w:afterLines="0" w:line="240" w:lineRule="auto"/>
              <w:ind w:firstLine="0" w:firstLineChars="0"/>
              <w:jc w:val="righ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年     月    日  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eastAsia="方正小标宋简体"/>
          <w:color w:val="auto"/>
          <w:sz w:val="32"/>
          <w:szCs w:val="32"/>
        </w:rPr>
      </w:pPr>
      <w:r>
        <w:rPr>
          <w:rFonts w:ascii="Times New Roman" w:eastAsia="方正小标宋简体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交通运输行业专业标准化技术委员会委员登记表</w:t>
      </w:r>
    </w:p>
    <w:p>
      <w:pPr>
        <w:snapToGrid w:val="0"/>
        <w:spacing w:before="156" w:beforeLines="50" w:after="0" w:afterLines="0" w:line="360" w:lineRule="auto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标委会名称：</w:t>
      </w:r>
    </w:p>
    <w:tbl>
      <w:tblPr>
        <w:tblStyle w:val="5"/>
        <w:tblW w:w="8346" w:type="dxa"/>
        <w:jc w:val="center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3"/>
        <w:gridCol w:w="1000"/>
        <w:gridCol w:w="567"/>
        <w:gridCol w:w="23"/>
        <w:gridCol w:w="349"/>
        <w:gridCol w:w="1033"/>
        <w:gridCol w:w="832"/>
        <w:gridCol w:w="606"/>
        <w:gridCol w:w="419"/>
        <w:gridCol w:w="173"/>
        <w:gridCol w:w="427"/>
        <w:gridCol w:w="943"/>
        <w:gridCol w:w="115"/>
        <w:gridCol w:w="1813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340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姓 名</w:t>
            </w: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性 别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出生年月</w:t>
            </w:r>
          </w:p>
        </w:tc>
        <w:tc>
          <w:tcPr>
            <w:tcW w:w="13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right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  年  月 </w:t>
            </w:r>
          </w:p>
        </w:tc>
        <w:tc>
          <w:tcPr>
            <w:tcW w:w="192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二 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340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民 族</w:t>
            </w: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本委员会职务</w:t>
            </w:r>
          </w:p>
        </w:tc>
        <w:tc>
          <w:tcPr>
            <w:tcW w:w="25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340" w:hRule="atLeast"/>
          <w:jc w:val="center"/>
        </w:trPr>
        <w:tc>
          <w:tcPr>
            <w:tcW w:w="1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参加标委会时间</w:t>
            </w:r>
          </w:p>
        </w:tc>
        <w:tc>
          <w:tcPr>
            <w:tcW w:w="443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年      月</w:t>
            </w:r>
          </w:p>
        </w:tc>
        <w:tc>
          <w:tcPr>
            <w:tcW w:w="192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340" w:hRule="atLeast"/>
          <w:jc w:val="center"/>
        </w:trPr>
        <w:tc>
          <w:tcPr>
            <w:tcW w:w="1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技术职称及聘任时间</w:t>
            </w:r>
          </w:p>
        </w:tc>
        <w:tc>
          <w:tcPr>
            <w:tcW w:w="443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right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 年   月 </w:t>
            </w:r>
          </w:p>
        </w:tc>
        <w:tc>
          <w:tcPr>
            <w:tcW w:w="192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340" w:hRule="atLeast"/>
          <w:jc w:val="center"/>
        </w:trPr>
        <w:tc>
          <w:tcPr>
            <w:tcW w:w="1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身份证号</w:t>
            </w:r>
          </w:p>
        </w:tc>
        <w:tc>
          <w:tcPr>
            <w:tcW w:w="63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340" w:hRule="atLeast"/>
          <w:jc w:val="center"/>
        </w:trPr>
        <w:tc>
          <w:tcPr>
            <w:tcW w:w="1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工作单位</w:t>
            </w:r>
          </w:p>
        </w:tc>
        <w:tc>
          <w:tcPr>
            <w:tcW w:w="63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48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/>
              </w:rPr>
              <w:t>单位统一社会信用代码（或组织机构代码）</w:t>
            </w: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left="0" w:firstLine="0" w:firstLineChars="0"/>
              <w:jc w:val="both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1.国有企业2.民营企业3.科研院所4.大专院校5.行业协会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76" w:lineRule="auto"/>
              <w:jc w:val="both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6.政府机构 7.外商独资企业8.中外合资、中外合作或外方控股企业9.其他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/>
              </w:rPr>
              <w:t>所属相关方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1.生产者  2.经营者 3.使用者 4.消费者  5.公共利益方（教育科研机构、行政主管部门、检测及认证机构、社会团体）[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行政职务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从事专业</w:t>
            </w:r>
          </w:p>
        </w:tc>
        <w:tc>
          <w:tcPr>
            <w:tcW w:w="38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通信地址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邮政编码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联系电话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传真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电子信箱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毕业院校</w:t>
            </w:r>
          </w:p>
        </w:tc>
        <w:tc>
          <w:tcPr>
            <w:tcW w:w="38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毕业时间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right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年   月     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会何种外语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60" w:afterLines="0" w:line="240" w:lineRule="auto"/>
              <w:ind w:firstLine="0" w:firstLineChars="0"/>
              <w:jc w:val="left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1. 英语 □ 2. 法语 □ 3. 德语 □ 4. 日语 □ 5. 俄语 □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外语熟练程度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240" w:firstLineChars="1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(  )英语  (  )法语  (  )德语  (  )日语 (  )俄语 </w:t>
            </w:r>
          </w:p>
          <w:p>
            <w:pPr>
              <w:widowControl w:val="0"/>
              <w:spacing w:before="100" w:beforeLines="0" w:after="100" w:afterLines="0" w:line="240" w:lineRule="auto"/>
              <w:ind w:firstLine="240" w:firstLineChars="1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(  )其他    括号内填写以下：1．流利 2. 中等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907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Lines="0" w:after="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有何专业</w:t>
            </w:r>
          </w:p>
          <w:p>
            <w:pPr>
              <w:widowControl w:val="0"/>
              <w:spacing w:before="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技术特长</w:t>
            </w:r>
          </w:p>
        </w:tc>
        <w:tc>
          <w:tcPr>
            <w:tcW w:w="673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Lines="0" w:after="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两院院士</w:t>
            </w:r>
          </w:p>
          <w:p>
            <w:pPr>
              <w:widowControl w:val="0"/>
              <w:spacing w:before="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请填写：</w:t>
            </w:r>
          </w:p>
        </w:tc>
        <w:tc>
          <w:tcPr>
            <w:tcW w:w="673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Lines="0" w:after="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1．□ 科学院院士   担任时间：       年    月     </w:t>
            </w:r>
          </w:p>
          <w:p>
            <w:pPr>
              <w:widowControl w:val="0"/>
              <w:spacing w:before="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1134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曾负责组织制修订标准、主要职责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1134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有何发明、著作、学术论文，发表时间、发表刊物名称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1134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参加何种学术组织、担任何种职务</w:t>
            </w:r>
          </w:p>
        </w:tc>
        <w:tc>
          <w:tcPr>
            <w:tcW w:w="6733" w:type="dxa"/>
            <w:gridSpan w:val="11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714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受过何种奖励</w:t>
            </w:r>
          </w:p>
        </w:tc>
        <w:tc>
          <w:tcPr>
            <w:tcW w:w="6733" w:type="dxa"/>
            <w:gridSpan w:val="11"/>
            <w:noWrap w:val="0"/>
            <w:vAlign w:val="top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1134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本人签字</w:t>
            </w:r>
          </w:p>
        </w:tc>
        <w:tc>
          <w:tcPr>
            <w:tcW w:w="6733" w:type="dxa"/>
            <w:gridSpan w:val="11"/>
            <w:noWrap w:val="0"/>
            <w:vAlign w:val="top"/>
          </w:tcPr>
          <w:p>
            <w:pPr>
              <w:widowControl w:val="0"/>
              <w:spacing w:before="100" w:beforeLines="0" w:after="100" w:afterLines="0" w:line="240" w:lineRule="auto"/>
              <w:ind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本人承诺提供的材料真实、准确，符合作为标准化技术委员会委员的有关要求。能积极参加标准化活动，认真履行委员的各项职责和义务。</w:t>
            </w:r>
          </w:p>
          <w:p>
            <w:pPr>
              <w:widowControl w:val="0"/>
              <w:spacing w:after="200" w:afterLines="0" w:line="276" w:lineRule="auto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单位意见</w:t>
            </w:r>
          </w:p>
        </w:tc>
        <w:tc>
          <w:tcPr>
            <w:tcW w:w="6733" w:type="dxa"/>
            <w:gridSpan w:val="11"/>
            <w:noWrap w:val="0"/>
            <w:vAlign w:val="top"/>
          </w:tcPr>
          <w:p>
            <w:pPr>
              <w:widowControl w:val="0"/>
              <w:spacing w:before="100" w:beforeLines="0" w:after="100" w:afterLines="0" w:line="240" w:lineRule="auto"/>
              <w:ind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>该同志为我单位正式任职人员，我单位同意推荐其代表我单位参加标准化技术委员会活动。</w:t>
            </w:r>
          </w:p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righ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       负责人签字：          （加盖单位公章）      </w:t>
            </w:r>
          </w:p>
          <w:p>
            <w:pPr>
              <w:widowControl w:val="0"/>
              <w:spacing w:before="100" w:beforeLines="0" w:after="100" w:afterLines="0" w:line="240" w:lineRule="auto"/>
              <w:ind w:firstLine="0" w:firstLineChars="0"/>
              <w:jc w:val="righ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/>
              </w:rPr>
              <w:t xml:space="preserve">年    月   日  </w:t>
            </w:r>
          </w:p>
        </w:tc>
      </w:tr>
    </w:tbl>
    <w:p>
      <w:pPr>
        <w:spacing w:line="360" w:lineRule="exact"/>
        <w:ind w:firstLine="480"/>
        <w:rPr>
          <w:rFonts w:ascii="Times New Roman" w:hAnsi="Times New Roman" w:eastAsia="楷体"/>
          <w:color w:val="auto"/>
          <w:sz w:val="24"/>
        </w:rPr>
      </w:pPr>
      <w:r>
        <w:rPr>
          <w:rFonts w:hint="default" w:ascii="Times New Roman" w:hAnsi="Times New Roman" w:eastAsia="楷体"/>
          <w:color w:val="auto"/>
          <w:sz w:val="24"/>
        </w:rPr>
        <w:t>注：表格内容填写不下可另附页。</w:t>
      </w:r>
    </w:p>
    <w:p>
      <w:pPr>
        <w:spacing w:line="360" w:lineRule="exact"/>
        <w:ind w:firstLine="360"/>
        <w:rPr>
          <w:rFonts w:ascii="Times New Roman" w:hAnsi="Times New Roman" w:eastAsia="楷体"/>
          <w:color w:val="auto"/>
          <w:sz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436" w:charSpace="0"/>
        </w:sectPr>
      </w:pP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center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hint="eastAsia"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EA02A"/>
    <w:multiLevelType w:val="singleLevel"/>
    <w:tmpl w:val="B3DEA02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270A762"/>
    <w:multiLevelType w:val="singleLevel"/>
    <w:tmpl w:val="F270A76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12"/>
    <w:multiLevelType w:val="multilevel"/>
    <w:tmpl w:val="00000012"/>
    <w:lvl w:ilvl="0" w:tentative="0">
      <w:start w:val="1"/>
      <w:numFmt w:val="chineseCountingThousand"/>
      <w:lvlText w:val="第%1条"/>
      <w:lvlJc w:val="left"/>
      <w:pPr>
        <w:ind w:left="846" w:hanging="420"/>
      </w:pPr>
      <w:rPr>
        <w:rFonts w:hint="eastAsia" w:ascii="黑体" w:hAnsi="黑体" w:eastAsia="黑体" w:cs="黑体"/>
        <w:b w:val="0"/>
        <w:bCs/>
        <w:color w:val="000000"/>
      </w:rPr>
    </w:lvl>
    <w:lvl w:ilvl="1" w:tentative="0">
      <w:start w:val="1"/>
      <w:numFmt w:val="japaneseCounting"/>
      <w:lvlText w:val="（%2）"/>
      <w:lvlJc w:val="left"/>
      <w:pPr>
        <w:ind w:left="1926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00000013"/>
    <w:multiLevelType w:val="multilevel"/>
    <w:tmpl w:val="0000001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029CD10"/>
    <w:multiLevelType w:val="singleLevel"/>
    <w:tmpl w:val="2029CD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C631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afterLines="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after="330" w:afterLines="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after="200" w:afterLines="0" w:line="276" w:lineRule="auto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200" w:afterLines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customStyle="1" w:styleId="7">
    <w:name w:val="列出段落1"/>
    <w:qFormat/>
    <w:uiPriority w:val="0"/>
    <w:pPr>
      <w:widowControl w:val="0"/>
      <w:spacing w:after="200" w:afterLines="0" w:line="276" w:lineRule="auto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2020-02-18T10:36:00Z</dcterms:created>
  <dc:creator>董丽丽</dc:creator>
  <cp:lastModifiedBy>rainy_zr</cp:lastModifiedBy>
  <dcterms:modified xsi:type="dcterms:W3CDTF">2020-02-23T08:40:05Z</dcterms:modified>
  <dc:title>经交通运输部同意，现将《交通运输行业专业标准化技术委员会管理办法》印发给你们，请遵照执行。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