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inorEastAsia" w:hAnsiTheme="minorEastAsia" w:eastAsiaTheme="minorEastAsia"/>
          <w:b/>
          <w:szCs w:val="21"/>
        </w:rPr>
      </w:pPr>
      <w:bookmarkStart w:id="0" w:name="_Toc9370"/>
      <w:bookmarkStart w:id="1" w:name="_Toc22574"/>
      <w:bookmarkStart w:id="2" w:name="_Toc20719"/>
      <w:bookmarkStart w:id="3" w:name="_Toc14788"/>
      <w:bookmarkStart w:id="4" w:name="_Toc12197"/>
      <w:bookmarkStart w:id="5" w:name="_Toc12314"/>
      <w:bookmarkStart w:id="6" w:name="_Toc476301074"/>
      <w:r>
        <w:rPr>
          <w:rFonts w:hint="eastAsia" w:asciiTheme="minorEastAsia" w:hAnsiTheme="minorEastAsia" w:eastAsiaTheme="minorEastAsia"/>
          <w:b/>
          <w:szCs w:val="21"/>
        </w:rPr>
        <w:t>港口危险货物集中区域安全风险评估指南</w:t>
      </w:r>
    </w:p>
    <w:p>
      <w:pPr>
        <w:widowControl/>
        <w:jc w:val="center"/>
        <w:rPr>
          <w:rFonts w:hint="eastAsia" w:asciiTheme="minorEastAsia" w:hAnsiTheme="minorEastAsia" w:eastAsiaTheme="minorEastAsia"/>
          <w:bCs/>
          <w:szCs w:val="21"/>
        </w:rPr>
      </w:pPr>
      <w:r>
        <w:rPr>
          <w:rFonts w:hint="eastAsia" w:asciiTheme="minorEastAsia" w:hAnsiTheme="minorEastAsia" w:eastAsiaTheme="minorEastAsia"/>
          <w:bCs/>
          <w:szCs w:val="21"/>
        </w:rPr>
        <w:t>（征求意见稿）</w:t>
      </w:r>
    </w:p>
    <w:p>
      <w:pPr>
        <w:widowControl/>
        <w:rPr>
          <w:rFonts w:asciiTheme="minorEastAsia" w:hAnsiTheme="minorEastAsia" w:eastAsiaTheme="minorEastAsia"/>
          <w:b/>
          <w:szCs w:val="21"/>
        </w:rPr>
      </w:pPr>
    </w:p>
    <w:bookmarkEnd w:id="0"/>
    <w:bookmarkEnd w:id="1"/>
    <w:bookmarkEnd w:id="2"/>
    <w:bookmarkEnd w:id="3"/>
    <w:bookmarkEnd w:id="4"/>
    <w:bookmarkEnd w:id="5"/>
    <w:p>
      <w:pPr>
        <w:widowControl/>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w:t>
      </w:r>
      <w:r>
        <w:rPr>
          <w:rFonts w:asciiTheme="minorEastAsia" w:hAnsiTheme="minorEastAsia" w:eastAsiaTheme="minorEastAsia"/>
          <w:bCs/>
          <w:szCs w:val="21"/>
        </w:rPr>
        <w:t>编制目的</w:t>
      </w:r>
      <w:bookmarkEnd w:id="6"/>
    </w:p>
    <w:p>
      <w:pPr>
        <w:widowControl/>
        <w:ind w:firstLine="600"/>
        <w:rPr>
          <w:rFonts w:asciiTheme="minorEastAsia" w:hAnsiTheme="minorEastAsia" w:eastAsiaTheme="minorEastAsia"/>
          <w:szCs w:val="21"/>
        </w:rPr>
      </w:pPr>
      <w:r>
        <w:rPr>
          <w:rFonts w:asciiTheme="minorEastAsia" w:hAnsiTheme="minorEastAsia" w:eastAsiaTheme="minorEastAsia"/>
          <w:szCs w:val="21"/>
        </w:rPr>
        <w:t>为贯彻落实《国务院办公厅关于印发危险化学品安全综合治理方案的通知》（国办发〔2016〕88号）</w:t>
      </w:r>
      <w:r>
        <w:rPr>
          <w:rFonts w:hint="eastAsia" w:asciiTheme="minorEastAsia" w:hAnsiTheme="minorEastAsia" w:eastAsiaTheme="minorEastAsia"/>
          <w:szCs w:val="21"/>
        </w:rPr>
        <w:t>、</w:t>
      </w:r>
      <w:r>
        <w:rPr>
          <w:rFonts w:asciiTheme="minorEastAsia" w:hAnsiTheme="minorEastAsia" w:eastAsiaTheme="minorEastAsia"/>
          <w:szCs w:val="21"/>
        </w:rPr>
        <w:t>《交通运输部办公厅关于加强港口危险货物储罐安全管理的意见》（交办水〔2017〕34号）精神，指导和规范</w:t>
      </w:r>
      <w:r>
        <w:rPr>
          <w:rFonts w:hint="eastAsia" w:asciiTheme="minorEastAsia" w:hAnsiTheme="minorEastAsia" w:eastAsiaTheme="minorEastAsia"/>
          <w:szCs w:val="21"/>
        </w:rPr>
        <w:t>集中区域</w:t>
      </w:r>
      <w:r>
        <w:rPr>
          <w:rFonts w:asciiTheme="minorEastAsia" w:hAnsiTheme="minorEastAsia" w:eastAsiaTheme="minorEastAsia"/>
          <w:szCs w:val="21"/>
        </w:rPr>
        <w:t>安全风险评估工作，</w:t>
      </w:r>
      <w:r>
        <w:rPr>
          <w:rFonts w:hint="eastAsia" w:asciiTheme="minorEastAsia" w:hAnsiTheme="minorEastAsia" w:eastAsiaTheme="minorEastAsia"/>
          <w:szCs w:val="21"/>
        </w:rPr>
        <w:t>掌握港口危险货物集中区域的分布情况，有效控制和降低集中区域的</w:t>
      </w:r>
      <w:r>
        <w:rPr>
          <w:rFonts w:asciiTheme="minorEastAsia" w:hAnsiTheme="minorEastAsia" w:eastAsiaTheme="minorEastAsia"/>
          <w:szCs w:val="21"/>
        </w:rPr>
        <w:t>重大安全风险</w:t>
      </w:r>
      <w:r>
        <w:rPr>
          <w:rFonts w:hint="eastAsia" w:asciiTheme="minorEastAsia" w:hAnsiTheme="minorEastAsia" w:eastAsiaTheme="minorEastAsia"/>
          <w:szCs w:val="21"/>
        </w:rPr>
        <w:t>，坚决防范和遏制集中区域对其自身及其</w:t>
      </w:r>
      <w:r>
        <w:rPr>
          <w:rFonts w:asciiTheme="minorEastAsia" w:hAnsiTheme="minorEastAsia" w:eastAsiaTheme="minorEastAsia"/>
          <w:szCs w:val="21"/>
        </w:rPr>
        <w:t>周边</w:t>
      </w:r>
      <w:r>
        <w:rPr>
          <w:rFonts w:hint="eastAsia" w:asciiTheme="minorEastAsia" w:hAnsiTheme="minorEastAsia" w:eastAsiaTheme="minorEastAsia"/>
          <w:szCs w:val="21"/>
        </w:rPr>
        <w:t>区域</w:t>
      </w:r>
      <w:r>
        <w:rPr>
          <w:rFonts w:asciiTheme="minorEastAsia" w:hAnsiTheme="minorEastAsia" w:eastAsiaTheme="minorEastAsia"/>
          <w:szCs w:val="21"/>
        </w:rPr>
        <w:t>安全</w:t>
      </w:r>
      <w:r>
        <w:rPr>
          <w:rFonts w:hint="eastAsia" w:asciiTheme="minorEastAsia" w:hAnsiTheme="minorEastAsia" w:eastAsiaTheme="minorEastAsia"/>
          <w:szCs w:val="21"/>
        </w:rPr>
        <w:t>的重大危害，</w:t>
      </w:r>
      <w:r>
        <w:rPr>
          <w:rFonts w:asciiTheme="minorEastAsia" w:hAnsiTheme="minorEastAsia" w:eastAsiaTheme="minorEastAsia"/>
          <w:szCs w:val="21"/>
        </w:rPr>
        <w:t>制定本指南。</w:t>
      </w:r>
    </w:p>
    <w:p>
      <w:pPr>
        <w:widowControl/>
        <w:ind w:firstLine="420" w:firstLineChars="200"/>
        <w:rPr>
          <w:rFonts w:hint="eastAsia" w:asciiTheme="minorEastAsia" w:hAnsiTheme="minorEastAsia" w:eastAsiaTheme="minorEastAsia"/>
          <w:bCs/>
          <w:szCs w:val="21"/>
        </w:rPr>
      </w:pPr>
      <w:bookmarkStart w:id="7" w:name="_Toc476301077"/>
      <w:r>
        <w:rPr>
          <w:rFonts w:hint="eastAsia" w:asciiTheme="minorEastAsia" w:hAnsiTheme="minorEastAsia" w:eastAsiaTheme="minorEastAsia"/>
          <w:bCs/>
          <w:szCs w:val="21"/>
        </w:rPr>
        <w:t>2编制依据</w:t>
      </w:r>
      <w:bookmarkEnd w:id="7"/>
    </w:p>
    <w:p>
      <w:pPr>
        <w:widowControl/>
        <w:ind w:firstLine="600"/>
        <w:rPr>
          <w:rFonts w:asciiTheme="minorEastAsia" w:hAnsiTheme="minorEastAsia" w:eastAsiaTheme="minorEastAsia"/>
          <w:szCs w:val="21"/>
        </w:rPr>
      </w:pPr>
      <w:r>
        <w:rPr>
          <w:rFonts w:asciiTheme="minorEastAsia" w:hAnsiTheme="minorEastAsia" w:eastAsiaTheme="minorEastAsia"/>
          <w:szCs w:val="21"/>
        </w:rPr>
        <w:t>本指南依据国家法律、法规、规章、规范性文件以及相关标准编制，主要包括：</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《中华人民共和国安全生产法》</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《中华人民共和国港口法》</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《危险化学品安全管理条例》</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《港口经营管理规定》</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《港口危险货物安全管理规定》</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《国务院办公厅关于印发危险化学品安全综合治理方案的通知》</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《国务院安委会办公室关于实施遏制重特大事故工作指南构建双重预防机制的意见》</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《交通运输部办公厅关于加强港口危险货物储罐安全管理的意见》</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《危险货物港口作业安全治理专项行动方案（2016-2018年）》</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《港口危险货物重大危险源监督管理办法（试行）》</w:t>
      </w:r>
    </w:p>
    <w:p>
      <w:pPr>
        <w:pStyle w:val="9"/>
        <w:ind w:firstLine="420"/>
        <w:rPr>
          <w:rFonts w:cs="Times New Roman" w:asciiTheme="minorEastAsia" w:hAnsiTheme="minorEastAsia" w:eastAsiaTheme="minorEastAsia"/>
          <w:sz w:val="21"/>
          <w:szCs w:val="21"/>
        </w:rPr>
      </w:pPr>
      <w:r>
        <w:rPr>
          <w:rFonts w:hint="eastAsia" w:asciiTheme="minorEastAsia" w:hAnsiTheme="minorEastAsia" w:eastAsiaTheme="minorEastAsia"/>
          <w:sz w:val="21"/>
          <w:szCs w:val="21"/>
        </w:rPr>
        <w:t>《危险货物港口作业重大事故隐患判定指南》</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《化工企业定量风险评价导则》AQ/T3046</w:t>
      </w:r>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《安全评价通则》AQ8001</w:t>
      </w:r>
    </w:p>
    <w:p>
      <w:pPr>
        <w:widowControl/>
        <w:ind w:firstLine="420" w:firstLineChars="200"/>
        <w:rPr>
          <w:rFonts w:hint="eastAsia" w:asciiTheme="minorEastAsia" w:hAnsiTheme="minorEastAsia" w:eastAsiaTheme="minorEastAsia"/>
          <w:bCs/>
          <w:szCs w:val="21"/>
        </w:rPr>
      </w:pPr>
      <w:bookmarkStart w:id="8" w:name="_Toc476301075"/>
      <w:r>
        <w:rPr>
          <w:rFonts w:hint="eastAsia" w:asciiTheme="minorEastAsia" w:hAnsiTheme="minorEastAsia" w:eastAsiaTheme="minorEastAsia"/>
          <w:bCs/>
          <w:szCs w:val="21"/>
        </w:rPr>
        <w:t>3适用范围</w:t>
      </w:r>
      <w:bookmarkEnd w:id="8"/>
    </w:p>
    <w:p>
      <w:pPr>
        <w:pStyle w:val="9"/>
        <w:ind w:firstLine="4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本指南适用于已建</w:t>
      </w:r>
      <w:r>
        <w:rPr>
          <w:rFonts w:hint="eastAsia" w:cs="Times New Roman" w:asciiTheme="minorEastAsia" w:hAnsiTheme="minorEastAsia" w:eastAsiaTheme="minorEastAsia"/>
          <w:sz w:val="21"/>
          <w:szCs w:val="21"/>
        </w:rPr>
        <w:t>的</w:t>
      </w:r>
      <w:r>
        <w:rPr>
          <w:rFonts w:cs="Times New Roman" w:asciiTheme="minorEastAsia" w:hAnsiTheme="minorEastAsia" w:eastAsiaTheme="minorEastAsia"/>
          <w:sz w:val="21"/>
          <w:szCs w:val="21"/>
        </w:rPr>
        <w:t>储罐区、堆场及仓库等</w:t>
      </w:r>
      <w:r>
        <w:rPr>
          <w:rFonts w:hint="eastAsia" w:cs="Times New Roman" w:asciiTheme="minorEastAsia" w:hAnsiTheme="minorEastAsia" w:eastAsiaTheme="minorEastAsia"/>
          <w:sz w:val="21"/>
          <w:szCs w:val="21"/>
        </w:rPr>
        <w:t>港口危险货物</w:t>
      </w:r>
      <w:r>
        <w:rPr>
          <w:rFonts w:cs="Times New Roman" w:asciiTheme="minorEastAsia" w:hAnsiTheme="minorEastAsia" w:eastAsiaTheme="minorEastAsia"/>
          <w:sz w:val="21"/>
          <w:szCs w:val="21"/>
        </w:rPr>
        <w:t>集中区域的安全风险评估。</w:t>
      </w:r>
    </w:p>
    <w:p>
      <w:pPr>
        <w:pStyle w:val="9"/>
        <w:ind w:firstLine="42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港口危险货物集中区域（以下简称集中区域）是指港口危险货物作业企业集中布置，可能发生重特大事故或对周边的安全具有重大影响的区域。</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4基本要求</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4.1评估程序</w:t>
      </w:r>
    </w:p>
    <w:p>
      <w:pPr>
        <w:pStyle w:val="9"/>
        <w:ind w:firstLine="42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集中区域安全风险评估程序包括前期准备，辨识与分析风险因素，划分评估单元，安全风险评估，提出安全对策措施及建议，做出评估结论，编制评估报告。集中区域安全风险评估程序见图4.1-1。</w:t>
      </w:r>
    </w:p>
    <w:p>
      <w:pPr>
        <w:pStyle w:val="9"/>
        <w:ind w:firstLine="420"/>
        <w:rPr>
          <w:rFonts w:cs="Times New Roman" w:asciiTheme="minorEastAsia" w:hAnsiTheme="minorEastAsia" w:eastAsiaTheme="minorEastAsia"/>
          <w:sz w:val="21"/>
          <w:szCs w:val="21"/>
        </w:rPr>
      </w:pPr>
    </w:p>
    <w:p>
      <w:pPr>
        <w:pStyle w:val="9"/>
        <w:ind w:firstLine="420"/>
        <w:rPr>
          <w:rFonts w:cs="Times New Roman" w:asciiTheme="minorEastAsia" w:hAnsiTheme="minorEastAsia" w:eastAsiaTheme="minorEastAsia"/>
          <w:sz w:val="21"/>
          <w:szCs w:val="21"/>
        </w:rPr>
      </w:pPr>
    </w:p>
    <w:p>
      <w:pPr>
        <w:pStyle w:val="9"/>
        <w:ind w:firstLine="420"/>
        <w:rPr>
          <w:rFonts w:cs="Times New Roman" w:asciiTheme="minorEastAsia" w:hAnsiTheme="minorEastAsia" w:eastAsiaTheme="minorEastAsia"/>
          <w:sz w:val="21"/>
          <w:szCs w:val="21"/>
        </w:rPr>
      </w:pPr>
    </w:p>
    <w:p>
      <w:pPr>
        <w:pStyle w:val="9"/>
        <w:ind w:firstLine="420"/>
        <w:rPr>
          <w:rFonts w:cs="Times New Roman" w:asciiTheme="minorEastAsia" w:hAnsiTheme="minorEastAsia" w:eastAsiaTheme="minorEastAsia"/>
          <w:sz w:val="21"/>
          <w:szCs w:val="21"/>
        </w:rPr>
      </w:pPr>
    </w:p>
    <w:p>
      <w:pPr>
        <w:pStyle w:val="9"/>
        <w:ind w:firstLine="420"/>
        <w:rPr>
          <w:rFonts w:cs="Times New Roman" w:asciiTheme="minorEastAsia" w:hAnsiTheme="minorEastAsia" w:eastAsiaTheme="minorEastAsia"/>
          <w:sz w:val="21"/>
          <w:szCs w:val="21"/>
        </w:rPr>
      </w:pPr>
      <w:r>
        <w:rPr>
          <w:rFonts w:asciiTheme="minorEastAsia" w:hAnsiTheme="minorEastAsia" w:eastAsiaTheme="minorEastAsia"/>
          <w:snapToGrid/>
          <w:sz w:val="21"/>
          <w:szCs w:val="21"/>
        </w:rPr>
        <mc:AlternateContent>
          <mc:Choice Requires="wpg">
            <w:drawing>
              <wp:anchor distT="0" distB="0" distL="114300" distR="114300" simplePos="0" relativeHeight="251659264" behindDoc="0" locked="0" layoutInCell="1" allowOverlap="1">
                <wp:simplePos x="0" y="0"/>
                <wp:positionH relativeFrom="column">
                  <wp:posOffset>1856105</wp:posOffset>
                </wp:positionH>
                <wp:positionV relativeFrom="paragraph">
                  <wp:posOffset>-87630</wp:posOffset>
                </wp:positionV>
                <wp:extent cx="1729105" cy="3799205"/>
                <wp:effectExtent l="0" t="0" r="23495" b="11430"/>
                <wp:wrapNone/>
                <wp:docPr id="1" name="组合 1"/>
                <wp:cNvGraphicFramePr/>
                <a:graphic xmlns:a="http://schemas.openxmlformats.org/drawingml/2006/main">
                  <a:graphicData uri="http://schemas.microsoft.com/office/word/2010/wordprocessingGroup">
                    <wpg:wgp>
                      <wpg:cNvGrpSpPr/>
                      <wpg:grpSpPr>
                        <a:xfrm>
                          <a:off x="0" y="0"/>
                          <a:ext cx="1729181" cy="3799053"/>
                          <a:chOff x="0" y="0"/>
                          <a:chExt cx="17621" cy="38576"/>
                        </a:xfrm>
                      </wpg:grpSpPr>
                      <wps:wsp>
                        <wps:cNvPr id="2" name="Text Box 3"/>
                        <wps:cNvSpPr txBox="1">
                          <a:spLocks noChangeArrowheads="1"/>
                        </wps:cNvSpPr>
                        <wps:spPr bwMode="auto">
                          <a:xfrm>
                            <a:off x="1809" y="0"/>
                            <a:ext cx="14097" cy="3238"/>
                          </a:xfrm>
                          <a:prstGeom prst="rect">
                            <a:avLst/>
                          </a:prstGeom>
                          <a:solidFill>
                            <a:srgbClr val="FFFFFF"/>
                          </a:solidFill>
                          <a:ln w="9525" cmpd="sng">
                            <a:solidFill>
                              <a:srgbClr val="000000"/>
                            </a:solidFill>
                            <a:miter lim="800000"/>
                          </a:ln>
                        </wps:spPr>
                        <wps:txb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前期准备</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905" y="5810"/>
                            <a:ext cx="14001" cy="3524"/>
                          </a:xfrm>
                          <a:prstGeom prst="rect">
                            <a:avLst/>
                          </a:prstGeom>
                          <a:solidFill>
                            <a:srgbClr val="FFFFFF"/>
                          </a:solidFill>
                          <a:ln w="9525" cmpd="sng">
                            <a:solidFill>
                              <a:srgbClr val="000000"/>
                            </a:solidFill>
                            <a:miter lim="800000"/>
                          </a:ln>
                        </wps:spPr>
                        <wps:txb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辨识与分析风险因素</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809" y="11906"/>
                            <a:ext cx="14002" cy="3429"/>
                          </a:xfrm>
                          <a:prstGeom prst="rect">
                            <a:avLst/>
                          </a:prstGeom>
                          <a:solidFill>
                            <a:srgbClr val="FFFFFF"/>
                          </a:solidFill>
                          <a:ln w="9525" cmpd="sng">
                            <a:solidFill>
                              <a:srgbClr val="000000"/>
                            </a:solidFill>
                            <a:miter lim="800000"/>
                          </a:ln>
                        </wps:spPr>
                        <wps:txb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划分评估单元</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905" y="17907"/>
                            <a:ext cx="14001" cy="3238"/>
                          </a:xfrm>
                          <a:prstGeom prst="rect">
                            <a:avLst/>
                          </a:prstGeom>
                          <a:solidFill>
                            <a:srgbClr val="FFFFFF"/>
                          </a:solidFill>
                          <a:ln w="9525" cmpd="sng">
                            <a:solidFill>
                              <a:srgbClr val="000000"/>
                            </a:solidFill>
                            <a:miter lim="800000"/>
                          </a:ln>
                        </wps:spPr>
                        <wps:txb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安全风险评估</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0" y="23526"/>
                            <a:ext cx="17621" cy="3429"/>
                          </a:xfrm>
                          <a:prstGeom prst="rect">
                            <a:avLst/>
                          </a:prstGeom>
                          <a:solidFill>
                            <a:srgbClr val="FFFFFF"/>
                          </a:solidFill>
                          <a:ln w="9525" cmpd="sng">
                            <a:solidFill>
                              <a:srgbClr val="000000"/>
                            </a:solidFill>
                            <a:miter lim="800000"/>
                          </a:ln>
                        </wps:spPr>
                        <wps:txb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提出安全对策措施及建议</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1809" y="29527"/>
                            <a:ext cx="15145" cy="3334"/>
                          </a:xfrm>
                          <a:prstGeom prst="rect">
                            <a:avLst/>
                          </a:prstGeom>
                          <a:solidFill>
                            <a:srgbClr val="FFFFFF"/>
                          </a:solidFill>
                          <a:ln w="9525" cmpd="sng">
                            <a:solidFill>
                              <a:srgbClr val="000000"/>
                            </a:solidFill>
                            <a:miter lim="800000"/>
                          </a:ln>
                        </wps:spPr>
                        <wps:txb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做出评估结论</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809" y="35528"/>
                            <a:ext cx="15145" cy="3048"/>
                          </a:xfrm>
                          <a:prstGeom prst="rect">
                            <a:avLst/>
                          </a:prstGeom>
                          <a:solidFill>
                            <a:srgbClr val="FFFFFF"/>
                          </a:solidFill>
                          <a:ln w="9525" cmpd="sng">
                            <a:solidFill>
                              <a:srgbClr val="000000"/>
                            </a:solidFill>
                            <a:miter lim="800000"/>
                          </a:ln>
                        </wps:spPr>
                        <wps:txb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编制评估报告</w:t>
                              </w:r>
                            </w:p>
                          </w:txbxContent>
                        </wps:txbx>
                        <wps:bodyPr rot="0" vert="horz" wrap="square" lIns="91440" tIns="45720" rIns="91440" bIns="45720" anchor="t" anchorCtr="0" upright="1">
                          <a:noAutofit/>
                        </wps:bodyPr>
                      </wps:wsp>
                      <wps:wsp>
                        <wps:cNvPr id="9" name="AutoShape 10"/>
                        <wps:cNvCnPr/>
                        <wps:spPr bwMode="auto">
                          <a:xfrm>
                            <a:off x="9048" y="3238"/>
                            <a:ext cx="0" cy="2572"/>
                          </a:xfrm>
                          <a:prstGeom prst="straightConnector1">
                            <a:avLst/>
                          </a:prstGeom>
                          <a:noFill/>
                          <a:ln w="6350" cmpd="sng">
                            <a:solidFill>
                              <a:srgbClr val="000000"/>
                            </a:solidFill>
                            <a:round/>
                            <a:tailEnd type="arrow" w="med" len="med"/>
                          </a:ln>
                        </wps:spPr>
                        <wps:bodyPr/>
                      </wps:wsp>
                      <wps:wsp>
                        <wps:cNvPr id="10" name="AutoShape 11"/>
                        <wps:cNvCnPr/>
                        <wps:spPr bwMode="auto">
                          <a:xfrm>
                            <a:off x="9144" y="9334"/>
                            <a:ext cx="0" cy="2572"/>
                          </a:xfrm>
                          <a:prstGeom prst="straightConnector1">
                            <a:avLst/>
                          </a:prstGeom>
                          <a:noFill/>
                          <a:ln w="6350" cmpd="sng">
                            <a:solidFill>
                              <a:srgbClr val="000000"/>
                            </a:solidFill>
                            <a:round/>
                            <a:tailEnd type="arrow" w="med" len="med"/>
                          </a:ln>
                        </wps:spPr>
                        <wps:bodyPr/>
                      </wps:wsp>
                      <wps:wsp>
                        <wps:cNvPr id="11" name="AutoShape 12"/>
                        <wps:cNvCnPr/>
                        <wps:spPr bwMode="auto">
                          <a:xfrm>
                            <a:off x="9144" y="15430"/>
                            <a:ext cx="0" cy="2572"/>
                          </a:xfrm>
                          <a:prstGeom prst="straightConnector1">
                            <a:avLst/>
                          </a:prstGeom>
                          <a:noFill/>
                          <a:ln w="6350" cmpd="sng">
                            <a:solidFill>
                              <a:srgbClr val="000000"/>
                            </a:solidFill>
                            <a:round/>
                            <a:tailEnd type="arrow" w="med" len="med"/>
                          </a:ln>
                        </wps:spPr>
                        <wps:bodyPr/>
                      </wps:wsp>
                      <wps:wsp>
                        <wps:cNvPr id="12" name="AutoShape 13"/>
                        <wps:cNvCnPr/>
                        <wps:spPr bwMode="auto">
                          <a:xfrm>
                            <a:off x="9239" y="21145"/>
                            <a:ext cx="0" cy="2572"/>
                          </a:xfrm>
                          <a:prstGeom prst="straightConnector1">
                            <a:avLst/>
                          </a:prstGeom>
                          <a:noFill/>
                          <a:ln w="6350" cmpd="sng">
                            <a:solidFill>
                              <a:srgbClr val="000000"/>
                            </a:solidFill>
                            <a:round/>
                            <a:tailEnd type="arrow" w="med" len="med"/>
                          </a:ln>
                        </wps:spPr>
                        <wps:bodyPr/>
                      </wps:wsp>
                      <wps:wsp>
                        <wps:cNvPr id="13" name="AutoShape 14"/>
                        <wps:cNvCnPr/>
                        <wps:spPr bwMode="auto">
                          <a:xfrm>
                            <a:off x="8858" y="26955"/>
                            <a:ext cx="0" cy="2572"/>
                          </a:xfrm>
                          <a:prstGeom prst="straightConnector1">
                            <a:avLst/>
                          </a:prstGeom>
                          <a:noFill/>
                          <a:ln w="6350" cmpd="sng">
                            <a:solidFill>
                              <a:srgbClr val="000000"/>
                            </a:solidFill>
                            <a:round/>
                            <a:tailEnd type="arrow" w="med" len="med"/>
                          </a:ln>
                        </wps:spPr>
                        <wps:bodyPr/>
                      </wps:wsp>
                      <wps:wsp>
                        <wps:cNvPr id="14" name="AutoShape 15"/>
                        <wps:cNvCnPr/>
                        <wps:spPr bwMode="auto">
                          <a:xfrm>
                            <a:off x="8953" y="32956"/>
                            <a:ext cx="0" cy="2572"/>
                          </a:xfrm>
                          <a:prstGeom prst="straightConnector1">
                            <a:avLst/>
                          </a:prstGeom>
                          <a:noFill/>
                          <a:ln w="6350" cmpd="sng">
                            <a:solidFill>
                              <a:srgbClr val="000000"/>
                            </a:solidFill>
                            <a:round/>
                            <a:tailEnd type="arrow" w="med" len="med"/>
                          </a:ln>
                        </wps:spPr>
                        <wps:bodyPr/>
                      </wps:wsp>
                    </wpg:wgp>
                  </a:graphicData>
                </a:graphic>
              </wp:anchor>
            </w:drawing>
          </mc:Choice>
          <mc:Fallback>
            <w:pict>
              <v:group id="_x0000_s1026" o:spid="_x0000_s1026" o:spt="203" style="position:absolute;left:0pt;margin-left:146.15pt;margin-top:-6.9pt;height:299.15pt;width:136.15pt;z-index:251659264;mso-width-relative:page;mso-height-relative:page;" coordsize="17621,38576" o:gfxdata="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J0Ug/fcAAAACwEAAA8AAAAAAAAAAQAgAAAAIgAAAGRycy9kb3du&#10;cmV2LnhtbFBLAQIUABQAAAAIAIdO4kBWpsdJbgQAAOAgAAAOAAAAAAAAAAEAIAAAACsBAABkcnMv&#10;ZTJvRG9jLnhtbFBLBQYAAAAABgAGAFkBAAALCAAAAAA=&#10;">
                <o:lock v:ext="edit" aspectratio="f"/>
                <v:shape id="Text Box 3" o:spid="_x0000_s1026" o:spt="202" type="#_x0000_t202" style="position:absolute;left:1809;top:0;height:3238;width:14097;"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前期准备</w:t>
                        </w:r>
                      </w:p>
                    </w:txbxContent>
                  </v:textbox>
                </v:shape>
                <v:shape id="Text Box 4" o:spid="_x0000_s1026" o:spt="202" type="#_x0000_t202" style="position:absolute;left:1905;top:5810;height:3524;width:14001;"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辨识与分析风险因素</w:t>
                        </w:r>
                      </w:p>
                    </w:txbxContent>
                  </v:textbox>
                </v:shape>
                <v:shape id="Text Box 5" o:spid="_x0000_s1026" o:spt="202" type="#_x0000_t202" style="position:absolute;left:1809;top:11906;height:3429;width:14002;"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划分评估单元</w:t>
                        </w:r>
                      </w:p>
                    </w:txbxContent>
                  </v:textbox>
                </v:shape>
                <v:shape id="Text Box 6" o:spid="_x0000_s1026" o:spt="202" type="#_x0000_t202" style="position:absolute;left:1905;top:17907;height:3238;width:14001;"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安全风险评估</w:t>
                        </w:r>
                      </w:p>
                    </w:txbxContent>
                  </v:textbox>
                </v:shape>
                <v:shape id="Text Box 7" o:spid="_x0000_s1026" o:spt="202" type="#_x0000_t202" style="position:absolute;left:0;top:23526;height:3429;width:17621;"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提出安全对策措施及建议</w:t>
                        </w:r>
                      </w:p>
                    </w:txbxContent>
                  </v:textbox>
                </v:shape>
                <v:shape id="Text Box 8" o:spid="_x0000_s1026" o:spt="202" type="#_x0000_t202" style="position:absolute;left:1809;top:29527;height:3334;width:15145;"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做出评估结论</w:t>
                        </w:r>
                      </w:p>
                    </w:txbxContent>
                  </v:textbox>
                </v:shape>
                <v:shape id="Text Box 9" o:spid="_x0000_s1026" o:spt="202" type="#_x0000_t202" style="position:absolute;left:1809;top:35528;height:3048;width:15145;"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pStyle w:val="9"/>
                          <w:adjustRightInd/>
                          <w:snapToGrid/>
                          <w:ind w:firstLine="0" w:firstLineChars="0"/>
                          <w:jc w:val="center"/>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编制评估报告</w:t>
                        </w:r>
                      </w:p>
                    </w:txbxContent>
                  </v:textbox>
                </v:shape>
                <v:shape id="AutoShape 10" o:spid="_x0000_s1026" o:spt="32" type="#_x0000_t32" style="position:absolute;left:9048;top:3238;height:2572;width:0;" filled="f" stroked="t" coordsize="21600,21600" o:gfxdata="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lNQRvQAA&#10;ANoAAAAPAAAAAAAAAAEAIAAAACIAAABkcnMvZG93bnJldi54bWxQSwECFAAUAAAACACHTuJAMy8F&#10;njsAAAA5AAAAEAAAAAAAAAABACAAAAAMAQAAZHJzL3NoYXBleG1sLnhtbFBLBQYAAAAABgAGAFsB&#10;AAC2AwAAAAA=&#10;">
                  <v:fill on="f" focussize="0,0"/>
                  <v:stroke weight="0.5pt" color="#000000" joinstyle="round" endarrow="open"/>
                  <v:imagedata o:title=""/>
                  <o:lock v:ext="edit" aspectratio="f"/>
                </v:shape>
                <v:shape id="AutoShape 11" o:spid="_x0000_s1026" o:spt="32" type="#_x0000_t32" style="position:absolute;left:9144;top:9334;height:2572;width:0;" filled="f" stroked="t" coordsize="21600,21600" o:gfxdata="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EI3e/&#10;AAAA2wAAAA8AAAAAAAAAAQAgAAAAIgAAAGRycy9kb3ducmV2LnhtbFBLAQIUABQAAAAIAIdO4kAz&#10;LwWeOwAAADkAAAAQAAAAAAAAAAEAIAAAAA4BAABkcnMvc2hhcGV4bWwueG1sUEsFBgAAAAAGAAYA&#10;WwEAALgDAAAAAA==&#10;">
                  <v:fill on="f" focussize="0,0"/>
                  <v:stroke weight="0.5pt" color="#000000" joinstyle="round" endarrow="open"/>
                  <v:imagedata o:title=""/>
                  <o:lock v:ext="edit" aspectratio="f"/>
                </v:shape>
                <v:shape id="AutoShape 12" o:spid="_x0000_s1026" o:spt="32" type="#_x0000_t32" style="position:absolute;left:9144;top:15430;height:2572;width:0;" filled="f" stroked="t" coordsize="21600,21600" o:gfxdata="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Ihuy8AAAA&#10;2wAAAA8AAAAAAAAAAQAgAAAAIgAAAGRycy9kb3ducmV2LnhtbFBLAQIUABQAAAAIAIdO4kAzLwWe&#10;OwAAADkAAAAQAAAAAAAAAAEAIAAAAAsBAABkcnMvc2hhcGV4bWwueG1sUEsFBgAAAAAGAAYAWwEA&#10;ALUDAAAAAA==&#10;">
                  <v:fill on="f" focussize="0,0"/>
                  <v:stroke weight="0.5pt" color="#000000" joinstyle="round" endarrow="open"/>
                  <v:imagedata o:title=""/>
                  <o:lock v:ext="edit" aspectratio="f"/>
                </v:shape>
                <v:shape id="AutoShape 13" o:spid="_x0000_s1026" o:spt="32" type="#_x0000_t32" style="position:absolute;left:9239;top:21145;height:2572;width:0;" filled="f" stroked="t" coordsize="21600,21600" o:gfxdata="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aGJu8AAAA&#10;2wAAAA8AAAAAAAAAAQAgAAAAIgAAAGRycy9kb3ducmV2LnhtbFBLAQIUABQAAAAIAIdO4kAzLwWe&#10;OwAAADkAAAAQAAAAAAAAAAEAIAAAAAsBAABkcnMvc2hhcGV4bWwueG1sUEsFBgAAAAAGAAYAWwEA&#10;ALUDAAAAAA==&#10;">
                  <v:fill on="f" focussize="0,0"/>
                  <v:stroke weight="0.5pt" color="#000000" joinstyle="round" endarrow="open"/>
                  <v:imagedata o:title=""/>
                  <o:lock v:ext="edit" aspectratio="f"/>
                </v:shape>
                <v:shape id="AutoShape 14" o:spid="_x0000_s1026" o:spt="32" type="#_x0000_t32" style="position:absolute;left:8858;top:26955;height:2572;width:0;" filled="f" stroked="t" coordsize="21600,21600" o:gfxdata="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WvQC8AAAA&#10;2wAAAA8AAAAAAAAAAQAgAAAAIgAAAGRycy9kb3ducmV2LnhtbFBLAQIUABQAAAAIAIdO4kAzLwWe&#10;OwAAADkAAAAQAAAAAAAAAAEAIAAAAAsBAABkcnMvc2hhcGV4bWwueG1sUEsFBgAAAAAGAAYAWwEA&#10;ALUDAAAAAA==&#10;">
                  <v:fill on="f" focussize="0,0"/>
                  <v:stroke weight="0.5pt" color="#000000" joinstyle="round" endarrow="open"/>
                  <v:imagedata o:title=""/>
                  <o:lock v:ext="edit" aspectratio="f"/>
                </v:shape>
                <v:shape id="AutoShape 15" o:spid="_x0000_s1026" o:spt="32" type="#_x0000_t32" style="position:absolute;left:8953;top:32956;height:2572;width:0;" filled="f" stroked="t" coordsize="21600,21600" o:gfxdata="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JXS8AAAA&#10;2wAAAA8AAAAAAAAAAQAgAAAAIgAAAGRycy9kb3ducmV2LnhtbFBLAQIUABQAAAAIAIdO4kAzLwWe&#10;OwAAADkAAAAQAAAAAAAAAAEAIAAAAAsBAABkcnMvc2hhcGV4bWwueG1sUEsFBgAAAAAGAAYAWwEA&#10;ALUDAAAAAA==&#10;">
                  <v:fill on="f" focussize="0,0"/>
                  <v:stroke weight="0.5pt" color="#000000" joinstyle="round" endarrow="open"/>
                  <v:imagedata o:title=""/>
                  <o:lock v:ext="edit" aspectratio="f"/>
                </v:shape>
              </v:group>
            </w:pict>
          </mc:Fallback>
        </mc:AlternateContent>
      </w:r>
    </w:p>
    <w:p>
      <w:pPr>
        <w:pStyle w:val="9"/>
        <w:ind w:firstLine="420"/>
        <w:rPr>
          <w:rFonts w:asciiTheme="minorEastAsia" w:hAnsiTheme="minorEastAsia" w:eastAsiaTheme="minorEastAsia"/>
          <w:sz w:val="21"/>
          <w:szCs w:val="21"/>
        </w:rPr>
      </w:pPr>
    </w:p>
    <w:p>
      <w:pPr>
        <w:pStyle w:val="9"/>
        <w:ind w:firstLine="420"/>
        <w:rPr>
          <w:rFonts w:asciiTheme="minorEastAsia" w:hAnsiTheme="minorEastAsia" w:eastAsiaTheme="minorEastAsia"/>
          <w:sz w:val="21"/>
          <w:szCs w:val="21"/>
        </w:rPr>
      </w:pPr>
    </w:p>
    <w:p>
      <w:pPr>
        <w:pStyle w:val="9"/>
        <w:adjustRightInd/>
        <w:snapToGrid/>
        <w:ind w:firstLine="0" w:firstLineChars="0"/>
        <w:jc w:val="center"/>
        <w:rPr>
          <w:rFonts w:asciiTheme="minorEastAsia" w:hAnsiTheme="minorEastAsia" w:eastAsiaTheme="minorEastAsia"/>
          <w:sz w:val="21"/>
          <w:szCs w:val="21"/>
        </w:rPr>
      </w:pPr>
    </w:p>
    <w:p>
      <w:pPr>
        <w:pStyle w:val="9"/>
        <w:ind w:firstLine="420"/>
        <w:rPr>
          <w:rFonts w:asciiTheme="minorEastAsia" w:hAnsiTheme="minorEastAsia" w:eastAsiaTheme="minorEastAsia"/>
          <w:sz w:val="21"/>
          <w:szCs w:val="21"/>
        </w:rPr>
      </w:pPr>
    </w:p>
    <w:p>
      <w:pPr>
        <w:pStyle w:val="9"/>
        <w:ind w:firstLine="420"/>
        <w:rPr>
          <w:rFonts w:asciiTheme="minorEastAsia" w:hAnsiTheme="minorEastAsia" w:eastAsiaTheme="minorEastAsia"/>
          <w:sz w:val="21"/>
          <w:szCs w:val="21"/>
        </w:rPr>
      </w:pPr>
    </w:p>
    <w:p>
      <w:pPr>
        <w:pStyle w:val="9"/>
        <w:ind w:firstLine="420"/>
        <w:rPr>
          <w:rFonts w:asciiTheme="minorEastAsia" w:hAnsiTheme="minorEastAsia" w:eastAsiaTheme="minorEastAsia"/>
          <w:sz w:val="21"/>
          <w:szCs w:val="21"/>
        </w:rPr>
      </w:pPr>
    </w:p>
    <w:p>
      <w:pPr>
        <w:pStyle w:val="9"/>
        <w:ind w:firstLine="420"/>
        <w:rPr>
          <w:rFonts w:asciiTheme="minorEastAsia" w:hAnsiTheme="minorEastAsia" w:eastAsiaTheme="minorEastAsia"/>
          <w:sz w:val="21"/>
          <w:szCs w:val="21"/>
        </w:rPr>
      </w:pPr>
    </w:p>
    <w:p>
      <w:pPr>
        <w:pStyle w:val="9"/>
        <w:ind w:firstLine="420"/>
        <w:rPr>
          <w:rFonts w:asciiTheme="minorEastAsia" w:hAnsiTheme="minorEastAsia" w:eastAsiaTheme="minorEastAsia"/>
          <w:sz w:val="21"/>
          <w:szCs w:val="21"/>
        </w:rPr>
      </w:pPr>
    </w:p>
    <w:p>
      <w:pPr>
        <w:pStyle w:val="9"/>
        <w:ind w:firstLine="420"/>
        <w:rPr>
          <w:rFonts w:asciiTheme="minorEastAsia" w:hAnsiTheme="minorEastAsia" w:eastAsiaTheme="minorEastAsia"/>
          <w:sz w:val="21"/>
          <w:szCs w:val="21"/>
        </w:rPr>
      </w:pPr>
    </w:p>
    <w:p>
      <w:pPr>
        <w:pStyle w:val="9"/>
        <w:ind w:firstLine="420"/>
        <w:rPr>
          <w:rFonts w:asciiTheme="minorEastAsia" w:hAnsiTheme="minorEastAsia" w:eastAsiaTheme="minorEastAsia"/>
          <w:sz w:val="21"/>
          <w:szCs w:val="21"/>
        </w:rPr>
      </w:pPr>
    </w:p>
    <w:p>
      <w:pPr>
        <w:pStyle w:val="9"/>
        <w:ind w:firstLine="420"/>
        <w:jc w:val="center"/>
        <w:rPr>
          <w:rFonts w:hint="eastAsia" w:asciiTheme="minorEastAsia" w:hAnsiTheme="minorEastAsia" w:eastAsiaTheme="minorEastAsia"/>
          <w:sz w:val="21"/>
          <w:szCs w:val="21"/>
        </w:rPr>
      </w:pPr>
    </w:p>
    <w:p>
      <w:pPr>
        <w:pStyle w:val="9"/>
        <w:ind w:firstLine="420"/>
        <w:jc w:val="center"/>
        <w:rPr>
          <w:rFonts w:hint="eastAsia" w:asciiTheme="minorEastAsia" w:hAnsiTheme="minorEastAsia" w:eastAsiaTheme="minorEastAsia"/>
          <w:sz w:val="21"/>
          <w:szCs w:val="21"/>
        </w:rPr>
      </w:pPr>
    </w:p>
    <w:p>
      <w:pPr>
        <w:pStyle w:val="9"/>
        <w:ind w:firstLine="420"/>
        <w:jc w:val="center"/>
        <w:rPr>
          <w:rFonts w:hint="eastAsia" w:asciiTheme="minorEastAsia" w:hAnsiTheme="minorEastAsia" w:eastAsiaTheme="minorEastAsia"/>
          <w:sz w:val="21"/>
          <w:szCs w:val="21"/>
        </w:rPr>
      </w:pPr>
    </w:p>
    <w:p>
      <w:pPr>
        <w:pStyle w:val="9"/>
        <w:ind w:firstLine="420"/>
        <w:jc w:val="center"/>
        <w:rPr>
          <w:rFonts w:hint="eastAsia" w:asciiTheme="minorEastAsia" w:hAnsiTheme="minorEastAsia" w:eastAsiaTheme="minorEastAsia"/>
          <w:sz w:val="21"/>
          <w:szCs w:val="21"/>
        </w:rPr>
      </w:pPr>
    </w:p>
    <w:p>
      <w:pPr>
        <w:pStyle w:val="9"/>
        <w:ind w:firstLine="42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图4.1-1    集中区域安全风险评估程序框图</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4.2划分评估单元</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集中区域安全风险评估单元应根据评估范围划分，应科学、合理，便于实施评估。应考虑集中区域整体的安全风险特点、区域内企业特点等，划分的评估单元应相对独立，具有明显的特征界限。评估单元应至少包括：</w:t>
      </w:r>
    </w:p>
    <w:p>
      <w:pPr>
        <w:pStyle w:val="8"/>
        <w:widowControl/>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集中区域地理位置及周边环境安全评</w:t>
      </w:r>
      <w:bookmarkStart w:id="23" w:name="_GoBack"/>
      <w:bookmarkEnd w:id="23"/>
      <w:r>
        <w:rPr>
          <w:rFonts w:hint="eastAsia" w:asciiTheme="minorEastAsia" w:hAnsiTheme="minorEastAsia" w:eastAsiaTheme="minorEastAsia"/>
          <w:szCs w:val="21"/>
        </w:rPr>
        <w:t>估；</w:t>
      </w:r>
    </w:p>
    <w:p>
      <w:pPr>
        <w:pStyle w:val="8"/>
        <w:widowControl/>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总体布局安全评估；</w:t>
      </w:r>
    </w:p>
    <w:p>
      <w:pPr>
        <w:pStyle w:val="8"/>
        <w:widowControl/>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集疏运条件安全评估；</w:t>
      </w:r>
    </w:p>
    <w:p>
      <w:pPr>
        <w:pStyle w:val="8"/>
        <w:widowControl/>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公共设施安全评估；</w:t>
      </w:r>
    </w:p>
    <w:p>
      <w:pPr>
        <w:pStyle w:val="8"/>
        <w:widowControl/>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公共安全管理安全评估；</w:t>
      </w:r>
    </w:p>
    <w:p>
      <w:pPr>
        <w:pStyle w:val="8"/>
        <w:widowControl/>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重大事故隐患分析；</w:t>
      </w:r>
    </w:p>
    <w:p>
      <w:pPr>
        <w:pStyle w:val="8"/>
        <w:widowControl/>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应急能力安全评估和定量风险计算等方面。</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4.3评估方法</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根据评估目的、要求和评估对象特点选择适用的评估方法。评估方法的选择应符合充分性、适应性、系统性、针对性和合理性原则。</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根据被评估区域的实际情况可选用类比分析法、安全检查表法（</w:t>
      </w:r>
      <w:r>
        <w:rPr>
          <w:rFonts w:asciiTheme="minorEastAsia" w:hAnsiTheme="minorEastAsia" w:eastAsiaTheme="minorEastAsia"/>
          <w:szCs w:val="21"/>
        </w:rPr>
        <w:t>SCL</w:t>
      </w:r>
      <w:r>
        <w:rPr>
          <w:rFonts w:hint="eastAsia" w:asciiTheme="minorEastAsia" w:hAnsiTheme="minorEastAsia" w:eastAsiaTheme="minorEastAsia"/>
          <w:szCs w:val="21"/>
        </w:rPr>
        <w:t>）、伤害或破坏范围评价法、定量风险评估（</w:t>
      </w:r>
      <w:r>
        <w:rPr>
          <w:rFonts w:asciiTheme="minorEastAsia" w:hAnsiTheme="minorEastAsia" w:eastAsiaTheme="minorEastAsia"/>
          <w:szCs w:val="21"/>
        </w:rPr>
        <w:t>QRA</w:t>
      </w:r>
      <w:r>
        <w:rPr>
          <w:rFonts w:hint="eastAsia" w:asciiTheme="minorEastAsia" w:hAnsiTheme="minorEastAsia" w:eastAsiaTheme="minorEastAsia"/>
          <w:szCs w:val="21"/>
        </w:rPr>
        <w:t>）等。</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4.4编制评估报告</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集中区域安全风险评估报告应全面、概括地反应评估过程的全部工作，文字应简洁、准确，提出的资料应清楚可靠，论点明确，利于阅读和审查。</w:t>
      </w:r>
    </w:p>
    <w:p>
      <w:pPr>
        <w:widowControl/>
        <w:ind w:firstLine="420" w:firstLineChars="200"/>
        <w:rPr>
          <w:rFonts w:hint="eastAsia" w:asciiTheme="minorEastAsia" w:hAnsiTheme="minorEastAsia" w:eastAsiaTheme="minorEastAsia"/>
          <w:bCs/>
          <w:szCs w:val="21"/>
        </w:rPr>
      </w:pPr>
      <w:bookmarkStart w:id="9" w:name="_Toc476301086"/>
      <w:r>
        <w:rPr>
          <w:rFonts w:hint="eastAsia" w:asciiTheme="minorEastAsia" w:hAnsiTheme="minorEastAsia" w:eastAsiaTheme="minorEastAsia"/>
          <w:bCs/>
          <w:szCs w:val="21"/>
        </w:rPr>
        <w:t>5风险因素辨识与分析</w:t>
      </w:r>
      <w:bookmarkEnd w:id="9"/>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从区域与其外部周边环境的相互影响、区域内企业之间的相互影响这两个层次，重点辨识</w:t>
      </w:r>
      <w:r>
        <w:rPr>
          <w:rFonts w:asciiTheme="minorEastAsia" w:hAnsiTheme="minorEastAsia" w:eastAsiaTheme="minorEastAsia"/>
          <w:szCs w:val="21"/>
        </w:rPr>
        <w:t>可能</w:t>
      </w:r>
      <w:r>
        <w:rPr>
          <w:rFonts w:hint="eastAsia" w:asciiTheme="minorEastAsia" w:hAnsiTheme="minorEastAsia" w:eastAsiaTheme="minorEastAsia"/>
          <w:szCs w:val="21"/>
        </w:rPr>
        <w:t>导致区域及区域周边发生</w:t>
      </w:r>
      <w:r>
        <w:rPr>
          <w:rFonts w:asciiTheme="minorEastAsia" w:hAnsiTheme="minorEastAsia" w:eastAsiaTheme="minorEastAsia"/>
          <w:szCs w:val="21"/>
        </w:rPr>
        <w:t>重</w:t>
      </w:r>
      <w:r>
        <w:rPr>
          <w:rFonts w:hint="eastAsia" w:asciiTheme="minorEastAsia" w:hAnsiTheme="minorEastAsia" w:eastAsiaTheme="minorEastAsia"/>
          <w:szCs w:val="21"/>
        </w:rPr>
        <w:t>特</w:t>
      </w:r>
      <w:r>
        <w:rPr>
          <w:rFonts w:asciiTheme="minorEastAsia" w:hAnsiTheme="minorEastAsia" w:eastAsiaTheme="minorEastAsia"/>
          <w:szCs w:val="21"/>
        </w:rPr>
        <w:t>大伤亡事故的危险有害因素</w:t>
      </w:r>
      <w:r>
        <w:rPr>
          <w:rFonts w:hint="eastAsia" w:asciiTheme="minorEastAsia" w:hAnsiTheme="minorEastAsia" w:eastAsiaTheme="minorEastAsia"/>
          <w:szCs w:val="21"/>
        </w:rPr>
        <w:t>，辨识与分析内容包括但不限于以下内容：</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5.1危险货物固有危险特性分析</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根据区域内企业的作业许可情况，汇总集中区域涉及的危险货物的货种信息，辨识、分析其具有的易燃易爆、有毒等固有危险特性。</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5.2重大危险源分布</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基于集中区域内企业的现有重大危险源判定结果，分析集中区域重大危险源分布及其特点。</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5.3自然条件的影响分析</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综合考虑集中区域、国内外相类似区域的事故案例，分析风、雷电等自然条件对</w:t>
      </w:r>
      <w:r>
        <w:rPr>
          <w:rFonts w:asciiTheme="minorEastAsia" w:hAnsiTheme="minorEastAsia" w:eastAsiaTheme="minorEastAsia"/>
          <w:szCs w:val="21"/>
        </w:rPr>
        <w:t>装卸储运设施</w:t>
      </w:r>
      <w:r>
        <w:rPr>
          <w:rFonts w:hint="eastAsia" w:asciiTheme="minorEastAsia" w:hAnsiTheme="minorEastAsia" w:eastAsiaTheme="minorEastAsia"/>
          <w:szCs w:val="21"/>
        </w:rPr>
        <w:t>的影响，辨识可能造成重特大事故的危险有害因素，分析其发生作用的途径及变化规律。</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5.4作业过程危险有害因素辨识与分析</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综合考虑集中区域的作业货种相对分布、装卸储运设施的作业特点、自动化水平、集中区域及国内外相类似区域的事故案例，辨识作业过程中可能造成重特大事故的危险有害因素，分析其发生作用的途径及变化规律。</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5.5集中区域安全风险特点分析</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综合考虑集中区域的周边环境、整体作业规模、企业间的相互影响等因素，分析集中区域整体的安全风险特点。</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6安全风险评估</w:t>
      </w:r>
    </w:p>
    <w:p>
      <w:pPr>
        <w:widowControl/>
        <w:ind w:firstLine="600"/>
        <w:rPr>
          <w:rFonts w:asciiTheme="minorEastAsia" w:hAnsiTheme="minorEastAsia" w:eastAsiaTheme="minorEastAsia"/>
          <w:szCs w:val="21"/>
        </w:rPr>
      </w:pPr>
      <w:r>
        <w:rPr>
          <w:rFonts w:asciiTheme="minorEastAsia" w:hAnsiTheme="minorEastAsia" w:eastAsiaTheme="minorEastAsia"/>
          <w:szCs w:val="21"/>
        </w:rPr>
        <w:t>安全风险评估应</w:t>
      </w:r>
      <w:r>
        <w:rPr>
          <w:rFonts w:hint="eastAsia" w:asciiTheme="minorEastAsia" w:hAnsiTheme="minorEastAsia" w:eastAsiaTheme="minorEastAsia"/>
          <w:szCs w:val="21"/>
        </w:rPr>
        <w:t>至少</w:t>
      </w:r>
      <w:r>
        <w:rPr>
          <w:rFonts w:asciiTheme="minorEastAsia" w:hAnsiTheme="minorEastAsia" w:eastAsiaTheme="minorEastAsia"/>
          <w:szCs w:val="21"/>
        </w:rPr>
        <w:t>包括</w:t>
      </w:r>
      <w:r>
        <w:rPr>
          <w:rFonts w:hint="eastAsia" w:asciiTheme="minorEastAsia" w:hAnsiTheme="minorEastAsia" w:eastAsiaTheme="minorEastAsia"/>
          <w:szCs w:val="21"/>
        </w:rPr>
        <w:t>集中</w:t>
      </w:r>
      <w:r>
        <w:rPr>
          <w:rFonts w:asciiTheme="minorEastAsia" w:hAnsiTheme="minorEastAsia" w:eastAsiaTheme="minorEastAsia"/>
          <w:szCs w:val="21"/>
        </w:rPr>
        <w:t>区域</w:t>
      </w:r>
      <w:r>
        <w:rPr>
          <w:rFonts w:hint="eastAsia" w:asciiTheme="minorEastAsia" w:hAnsiTheme="minorEastAsia" w:eastAsiaTheme="minorEastAsia"/>
          <w:szCs w:val="21"/>
        </w:rPr>
        <w:t>地理位置及</w:t>
      </w:r>
      <w:r>
        <w:rPr>
          <w:rFonts w:asciiTheme="minorEastAsia" w:hAnsiTheme="minorEastAsia" w:eastAsiaTheme="minorEastAsia"/>
          <w:szCs w:val="21"/>
        </w:rPr>
        <w:t>周边环境</w:t>
      </w:r>
      <w:r>
        <w:rPr>
          <w:rFonts w:hint="eastAsia" w:asciiTheme="minorEastAsia" w:hAnsiTheme="minorEastAsia" w:eastAsiaTheme="minorEastAsia"/>
          <w:szCs w:val="21"/>
        </w:rPr>
        <w:t>安全评估、集中区域总体布局安全评估、集中</w:t>
      </w:r>
      <w:r>
        <w:rPr>
          <w:rFonts w:asciiTheme="minorEastAsia" w:hAnsiTheme="minorEastAsia" w:eastAsiaTheme="minorEastAsia"/>
          <w:szCs w:val="21"/>
        </w:rPr>
        <w:t>区域</w:t>
      </w:r>
      <w:r>
        <w:rPr>
          <w:rFonts w:hint="eastAsia" w:asciiTheme="minorEastAsia" w:hAnsiTheme="minorEastAsia" w:eastAsiaTheme="minorEastAsia"/>
          <w:szCs w:val="21"/>
        </w:rPr>
        <w:t>集疏运条件</w:t>
      </w:r>
      <w:r>
        <w:rPr>
          <w:rFonts w:asciiTheme="minorEastAsia" w:hAnsiTheme="minorEastAsia" w:eastAsiaTheme="minorEastAsia"/>
          <w:szCs w:val="21"/>
        </w:rPr>
        <w:t>安全评估、</w:t>
      </w:r>
      <w:r>
        <w:rPr>
          <w:rFonts w:hint="eastAsia" w:asciiTheme="minorEastAsia" w:hAnsiTheme="minorEastAsia" w:eastAsiaTheme="minorEastAsia"/>
          <w:szCs w:val="21"/>
        </w:rPr>
        <w:t>集中</w:t>
      </w:r>
      <w:r>
        <w:rPr>
          <w:rFonts w:asciiTheme="minorEastAsia" w:hAnsiTheme="minorEastAsia" w:eastAsiaTheme="minorEastAsia"/>
          <w:szCs w:val="21"/>
        </w:rPr>
        <w:t>区域公共设施安全评估、</w:t>
      </w:r>
      <w:r>
        <w:rPr>
          <w:rFonts w:hint="eastAsia" w:asciiTheme="minorEastAsia" w:hAnsiTheme="minorEastAsia" w:eastAsiaTheme="minorEastAsia"/>
          <w:szCs w:val="21"/>
        </w:rPr>
        <w:t>集中</w:t>
      </w:r>
      <w:r>
        <w:rPr>
          <w:rFonts w:asciiTheme="minorEastAsia" w:hAnsiTheme="minorEastAsia" w:eastAsiaTheme="minorEastAsia"/>
          <w:szCs w:val="21"/>
        </w:rPr>
        <w:t>区域公共安全管理评估</w:t>
      </w:r>
      <w:r>
        <w:rPr>
          <w:rFonts w:hint="eastAsia" w:asciiTheme="minorEastAsia" w:hAnsiTheme="minorEastAsia" w:eastAsiaTheme="minorEastAsia"/>
          <w:szCs w:val="21"/>
        </w:rPr>
        <w:t>、集中区域重大事故隐患分析、集中区域应急能力评估以及定量风险计算</w:t>
      </w:r>
      <w:r>
        <w:rPr>
          <w:rFonts w:asciiTheme="minorEastAsia" w:hAnsiTheme="minorEastAsia" w:eastAsiaTheme="minorEastAsia"/>
          <w:szCs w:val="21"/>
        </w:rPr>
        <w:t>等内容。</w:t>
      </w:r>
    </w:p>
    <w:p>
      <w:pPr>
        <w:widowControl/>
        <w:ind w:firstLine="420" w:firstLineChars="200"/>
        <w:rPr>
          <w:rFonts w:hint="eastAsia" w:asciiTheme="minorEastAsia" w:hAnsiTheme="minorEastAsia" w:eastAsiaTheme="minorEastAsia"/>
          <w:b/>
          <w:szCs w:val="21"/>
        </w:rPr>
      </w:pPr>
      <w:r>
        <w:rPr>
          <w:rFonts w:hint="eastAsia" w:asciiTheme="minorEastAsia" w:hAnsiTheme="minorEastAsia" w:eastAsiaTheme="minorEastAsia"/>
          <w:szCs w:val="21"/>
        </w:rPr>
        <w:t>6.1评估内容</w:t>
      </w:r>
    </w:p>
    <w:p>
      <w:pPr>
        <w:widowControl/>
        <w:ind w:firstLine="420" w:firstLineChars="200"/>
        <w:rPr>
          <w:rFonts w:hint="eastAsia" w:asciiTheme="minorEastAsia" w:hAnsiTheme="minorEastAsia" w:eastAsiaTheme="minorEastAsia"/>
          <w:bCs/>
          <w:szCs w:val="21"/>
        </w:rPr>
      </w:pPr>
      <w:bookmarkStart w:id="10" w:name="_Toc476301091"/>
      <w:bookmarkStart w:id="11" w:name="_Toc476070696"/>
      <w:bookmarkStart w:id="12" w:name="_Toc475521379"/>
      <w:r>
        <w:rPr>
          <w:rFonts w:hint="eastAsia" w:asciiTheme="minorEastAsia" w:hAnsiTheme="minorEastAsia" w:eastAsiaTheme="minorEastAsia"/>
          <w:bCs/>
          <w:szCs w:val="21"/>
        </w:rPr>
        <w:t>6.1.1集中区域地理位置及周边环境安全评估</w:t>
      </w:r>
      <w:bookmarkEnd w:id="10"/>
      <w:bookmarkEnd w:id="11"/>
      <w:bookmarkEnd w:id="12"/>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集中区域地理位置及周边环境安全评估应满足下列要求：</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1）现场勘查和调研内容至少包括集中区域及所在港区的发展规划情况（辖区范围及面积、功能定位、产业结构、作业规模等）、周边环境现状（周边相邻建构筑物和设施的类别、周边重要目标和敏感场所的类别及分布等）和自然条件(地形、地貌、地质构造、水文、气象、抗震设防等)。</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2）评估集中区域与相邻建构筑物和设施之间距离的符合性，分析集中区域与周边环境的相互影响，并查找存在问题。</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6.1.2集中区域总体布局安全评估</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集中区域总体布局安全评估应满足下列要求：</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1）现场勘查和调研内容至少包括集中区域内各功能分区的类型及布局、企业分布、企业间及对外的运输路线、分期建设情况。</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2）综合考虑地理位置、风向、竖向布置、许可作业的危险货物货种、作业规模等因素，评估集中区域总体布局的符合性，分析集中区域内各企业间的相互影响，并查找存在问题。</w:t>
      </w:r>
    </w:p>
    <w:p>
      <w:pPr>
        <w:widowControl/>
        <w:ind w:firstLine="420" w:firstLineChars="200"/>
        <w:rPr>
          <w:rFonts w:hint="eastAsia" w:asciiTheme="minorEastAsia" w:hAnsiTheme="minorEastAsia" w:eastAsiaTheme="minorEastAsia"/>
          <w:bCs/>
          <w:szCs w:val="21"/>
        </w:rPr>
      </w:pPr>
      <w:bookmarkStart w:id="13" w:name="_Toc475521381"/>
      <w:bookmarkStart w:id="14" w:name="_Toc476070698"/>
      <w:bookmarkStart w:id="15" w:name="_Toc476301092"/>
      <w:r>
        <w:rPr>
          <w:rFonts w:hint="eastAsia" w:asciiTheme="minorEastAsia" w:hAnsiTheme="minorEastAsia" w:eastAsiaTheme="minorEastAsia"/>
          <w:bCs/>
          <w:szCs w:val="21"/>
        </w:rPr>
        <w:t>6.1.3集中区域集疏运条件安全评估</w:t>
      </w:r>
      <w:bookmarkEnd w:id="13"/>
      <w:bookmarkEnd w:id="14"/>
      <w:bookmarkEnd w:id="15"/>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集中区域集疏运条件安全评估应满足下列要求：</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1）现场勘查和调研内容至少包括集中区域的集疏运方式(公路、铁路、水路、管道等)、集疏运条件（周期/车次、运量/流量、流向、路线、接轨站、管道敷设方式、集疏运安全设施等）、历年交通事故情况。</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2）评估集中区域集疏运风险的可接受程度，分析应急疏散和救援通道是否满足集中区域的需要，并查找存在问题。</w:t>
      </w:r>
    </w:p>
    <w:p>
      <w:pPr>
        <w:widowControl/>
        <w:ind w:firstLine="420" w:firstLineChars="200"/>
        <w:rPr>
          <w:rFonts w:hint="eastAsia" w:asciiTheme="minorEastAsia" w:hAnsiTheme="minorEastAsia" w:eastAsiaTheme="minorEastAsia"/>
          <w:bCs/>
          <w:szCs w:val="21"/>
        </w:rPr>
      </w:pPr>
      <w:bookmarkStart w:id="16" w:name="_Toc475521382"/>
      <w:bookmarkStart w:id="17" w:name="_Toc476070699"/>
      <w:bookmarkStart w:id="18" w:name="_Toc476301093"/>
      <w:r>
        <w:rPr>
          <w:rFonts w:hint="eastAsia" w:asciiTheme="minorEastAsia" w:hAnsiTheme="minorEastAsia" w:eastAsiaTheme="minorEastAsia"/>
          <w:bCs/>
          <w:szCs w:val="21"/>
        </w:rPr>
        <w:t>6.1.4集中区域公共设施安全评估</w:t>
      </w:r>
      <w:bookmarkEnd w:id="16"/>
      <w:bookmarkEnd w:id="17"/>
      <w:bookmarkEnd w:id="18"/>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集中区域公共设施安全评估应满足下列要求：</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1）现场勘查和调研内容至少包括集中区域公共设施（供电、供水、排水、供热、制冷、供气、消防、公共管廊、通讯、固体废弃物处理等）的分布、容量或处理量、涉及的危险化学品、应急备用情况。</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2）评估集中区域的公共设施设置的符合性和安全性，分析公共设施与集中区域装卸储运作业的匹配性，并查找存在问题。</w:t>
      </w:r>
    </w:p>
    <w:p>
      <w:pPr>
        <w:widowControl/>
        <w:ind w:firstLine="420" w:firstLineChars="200"/>
        <w:rPr>
          <w:rFonts w:hint="eastAsia" w:asciiTheme="minorEastAsia" w:hAnsiTheme="minorEastAsia" w:eastAsiaTheme="minorEastAsia"/>
          <w:bCs/>
          <w:szCs w:val="21"/>
        </w:rPr>
      </w:pPr>
      <w:bookmarkStart w:id="19" w:name="_Toc475521384"/>
      <w:bookmarkStart w:id="20" w:name="_Toc476070701"/>
      <w:bookmarkStart w:id="21" w:name="_Toc476301094"/>
      <w:r>
        <w:rPr>
          <w:rFonts w:hint="eastAsia" w:asciiTheme="minorEastAsia" w:hAnsiTheme="minorEastAsia" w:eastAsiaTheme="minorEastAsia"/>
          <w:bCs/>
          <w:szCs w:val="21"/>
        </w:rPr>
        <w:t>6.1.5集中区域公共安全管理评估</w:t>
      </w:r>
      <w:bookmarkEnd w:id="19"/>
      <w:bookmarkEnd w:id="20"/>
      <w:bookmarkEnd w:id="21"/>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集中区域公共安全管理评估应满足下列要求：</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1）现场勘查和调研内容至少包括集中区域的公共安全管理模式、管理机构、人员及设备物资配备、职责分工、港口危险货物重大危险源管理、船舶引航管理、港口保安管理、常压储罐、低压储罐及压力储罐管理情况。</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2）评估集中区域的公共安全管理的全面性、有效性，并查找存在问题。</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6.1.6集中区域重大事故隐患分析</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集中区域重大事故隐患分析应满足下列要求：</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1）现场勘查和调研集中区域内各企业概况，并汇总为集中区域的总体作业情况。</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2）基于区域内企业的现有判定结果，判定区域存在的危险货物港口作业重大事故隐患并分析其特点，查找区域内企业存在的普遍性、影响区域整体安全的问题。</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6.1.7集中区域应急能力评估</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集中区域应急能力评估应满足下列要求：</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1）现场勘查和调研内容至少包括集中区域的应急预案体系、应急组织机构及制度、内外部应急队伍、应急物资、紧急疏散和应急避难场所设置情况。</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2）分析集中区域的应急联动水平，评估整体应急能力是否满足</w:t>
      </w:r>
      <w:r>
        <w:rPr>
          <w:rFonts w:asciiTheme="minorEastAsia" w:hAnsiTheme="minorEastAsia" w:eastAsiaTheme="minorEastAsia"/>
          <w:szCs w:val="21"/>
        </w:rPr>
        <w:t>事故状态的需要</w:t>
      </w:r>
      <w:r>
        <w:rPr>
          <w:rFonts w:hint="eastAsia" w:asciiTheme="minorEastAsia" w:hAnsiTheme="minorEastAsia" w:eastAsiaTheme="minorEastAsia"/>
          <w:szCs w:val="21"/>
        </w:rPr>
        <w:t>，并查找存在问题。</w:t>
      </w:r>
    </w:p>
    <w:p>
      <w:pPr>
        <w:widowControl/>
        <w:ind w:firstLine="420" w:firstLineChars="200"/>
        <w:rPr>
          <w:rFonts w:hint="eastAsia" w:asciiTheme="minorEastAsia" w:hAnsiTheme="minorEastAsia" w:eastAsiaTheme="minorEastAsia"/>
          <w:bCs/>
          <w:szCs w:val="21"/>
        </w:rPr>
      </w:pPr>
      <w:bookmarkStart w:id="22" w:name="_Toc476301102"/>
      <w:r>
        <w:rPr>
          <w:rFonts w:hint="eastAsia" w:asciiTheme="minorEastAsia" w:hAnsiTheme="minorEastAsia" w:eastAsiaTheme="minorEastAsia"/>
          <w:bCs/>
          <w:szCs w:val="21"/>
        </w:rPr>
        <w:t>6.2定量风险计算</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6.2.1典型设备的事故后果计算</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典型设备的事故后果计算应满足下列要求：</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1）典型设备应</w:t>
      </w:r>
      <w:r>
        <w:rPr>
          <w:rFonts w:asciiTheme="minorEastAsia" w:hAnsiTheme="minorEastAsia" w:eastAsiaTheme="minorEastAsia"/>
          <w:szCs w:val="21"/>
        </w:rPr>
        <w:t>根据集中区域的整体安全风险特点</w:t>
      </w:r>
      <w:r>
        <w:rPr>
          <w:rFonts w:hint="eastAsia" w:asciiTheme="minorEastAsia" w:hAnsiTheme="minorEastAsia" w:eastAsiaTheme="minorEastAsia"/>
          <w:szCs w:val="21"/>
        </w:rPr>
        <w:t>，</w:t>
      </w:r>
      <w:r>
        <w:rPr>
          <w:rFonts w:asciiTheme="minorEastAsia" w:hAnsiTheme="minorEastAsia" w:eastAsiaTheme="minorEastAsia"/>
          <w:szCs w:val="21"/>
        </w:rPr>
        <w:t>可能发生的火灾、爆炸、中毒等重特大事故类型</w:t>
      </w:r>
      <w:r>
        <w:rPr>
          <w:rFonts w:hint="eastAsia" w:asciiTheme="minorEastAsia" w:hAnsiTheme="minorEastAsia" w:eastAsiaTheme="minorEastAsia"/>
          <w:szCs w:val="21"/>
        </w:rPr>
        <w:t>和设备设施的危险程度来确定。</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2）给出典型泄漏场景（孔泄漏、完全破裂）、天气条件（风速、大气稳定度、气温等）和设备特性（介质、温度、压力等）等输入参数。</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3）室内的容器、油罐和管道等设备泄漏，应考虑建筑物对扩散的影响。</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4）根据事故后果的计算结果，评估典型设备可能发生的重特大事故对其周边防护目标的安全产生的影响，并分析事故状态下的企业间的多米诺效应。</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6.2.2集中区域的整体风险计算</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集中区域的整体风险计算应满足下列要求：</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1）整体风险计算对象应根据</w:t>
      </w:r>
      <w:r>
        <w:rPr>
          <w:rFonts w:asciiTheme="minorEastAsia" w:hAnsiTheme="minorEastAsia" w:eastAsiaTheme="minorEastAsia"/>
          <w:szCs w:val="21"/>
        </w:rPr>
        <w:t>集中区域的</w:t>
      </w:r>
      <w:r>
        <w:rPr>
          <w:rFonts w:hint="eastAsia" w:asciiTheme="minorEastAsia" w:hAnsiTheme="minorEastAsia" w:eastAsiaTheme="minorEastAsia"/>
          <w:szCs w:val="21"/>
        </w:rPr>
        <w:t>作业规模和</w:t>
      </w:r>
      <w:r>
        <w:rPr>
          <w:rFonts w:asciiTheme="minorEastAsia" w:hAnsiTheme="minorEastAsia" w:eastAsiaTheme="minorEastAsia"/>
          <w:szCs w:val="21"/>
        </w:rPr>
        <w:t>整体安全风险特点</w:t>
      </w:r>
      <w:r>
        <w:rPr>
          <w:rFonts w:hint="eastAsia" w:asciiTheme="minorEastAsia" w:hAnsiTheme="minorEastAsia" w:eastAsiaTheme="minorEastAsia"/>
          <w:szCs w:val="21"/>
        </w:rPr>
        <w:t>来确定。</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2）给出泄漏频率、周边人口分布、点火源分布和当地的风速、风向及稳定度联合频率等输入参数。</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3）综合考虑</w:t>
      </w:r>
      <w:r>
        <w:rPr>
          <w:rFonts w:asciiTheme="minorEastAsia" w:hAnsiTheme="minorEastAsia" w:eastAsiaTheme="minorEastAsia"/>
          <w:szCs w:val="21"/>
        </w:rPr>
        <w:t>国家法律、法规、规章、规范性文件</w:t>
      </w:r>
      <w:r>
        <w:rPr>
          <w:rFonts w:hint="eastAsia" w:asciiTheme="minorEastAsia" w:hAnsiTheme="minorEastAsia" w:eastAsiaTheme="minorEastAsia"/>
          <w:szCs w:val="21"/>
        </w:rPr>
        <w:t>、</w:t>
      </w:r>
      <w:r>
        <w:rPr>
          <w:rFonts w:asciiTheme="minorEastAsia" w:hAnsiTheme="minorEastAsia" w:eastAsiaTheme="minorEastAsia"/>
          <w:szCs w:val="21"/>
        </w:rPr>
        <w:t>相关标准</w:t>
      </w:r>
      <w:r>
        <w:rPr>
          <w:rFonts w:hint="eastAsia" w:asciiTheme="minorEastAsia" w:hAnsiTheme="minorEastAsia" w:eastAsiaTheme="minorEastAsia"/>
          <w:szCs w:val="21"/>
        </w:rPr>
        <w:t>中的要求和集中区域的安全监管现状，确定集中区域的风险可接受标准。</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4）根据整体风险计算结果，</w:t>
      </w:r>
      <w:r>
        <w:rPr>
          <w:rFonts w:asciiTheme="minorEastAsia" w:hAnsiTheme="minorEastAsia" w:eastAsiaTheme="minorEastAsia"/>
          <w:szCs w:val="21"/>
        </w:rPr>
        <w:t>评估区域整体的个人风险、社会风险的可接受程度，</w:t>
      </w:r>
      <w:r>
        <w:rPr>
          <w:rFonts w:hint="eastAsia" w:asciiTheme="minorEastAsia" w:hAnsiTheme="minorEastAsia" w:eastAsiaTheme="minorEastAsia"/>
          <w:szCs w:val="21"/>
        </w:rPr>
        <w:t>分析</w:t>
      </w:r>
      <w:r>
        <w:rPr>
          <w:rFonts w:asciiTheme="minorEastAsia" w:hAnsiTheme="minorEastAsia" w:eastAsiaTheme="minorEastAsia"/>
          <w:szCs w:val="21"/>
        </w:rPr>
        <w:t>区域安全容量。</w:t>
      </w:r>
    </w:p>
    <w:bookmarkEnd w:id="22"/>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7安全和应急对策措施及建议</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综合风险因素辨识与分析结果和安全风险评估结果，对查找出的各项问题进行汇总；依据有关法律、法规、规章、标准、规范，遵循针对性、技术可行性、经济合理性的原则，提出安全和应急对策措施及建议。</w:t>
      </w:r>
    </w:p>
    <w:p>
      <w:pPr>
        <w:widowControl/>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8评估结论</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集中区域安全风险评估应给出以下结论：</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1）明确给出集中区域安全风险可接受程度的评估结果；</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2）提出集中区域存在的重点问题，以及可能发生的重特大事故类型；</w:t>
      </w:r>
    </w:p>
    <w:p>
      <w:pPr>
        <w:widowControl/>
        <w:ind w:firstLine="600"/>
        <w:rPr>
          <w:rFonts w:asciiTheme="minorEastAsia" w:hAnsiTheme="minorEastAsia" w:eastAsiaTheme="minorEastAsia"/>
          <w:szCs w:val="21"/>
        </w:rPr>
      </w:pPr>
      <w:r>
        <w:rPr>
          <w:rFonts w:hint="eastAsia" w:asciiTheme="minorEastAsia" w:hAnsiTheme="minorEastAsia" w:eastAsiaTheme="minorEastAsia"/>
          <w:szCs w:val="21"/>
        </w:rPr>
        <w:t>3）针对集中区域的安全风险特点和存在的重点问题提出主要安全和应急对策措施及建议。</w:t>
      </w:r>
    </w:p>
    <w:p>
      <w:pPr>
        <w:rPr>
          <w:rFonts w:hint="eastAsia" w:asciiTheme="minorEastAsia" w:hAnsiTheme="minorEastAsia" w:eastAsiaTheme="minorEastAsia"/>
          <w:kern w:val="0"/>
          <w:szCs w:val="21"/>
          <w:u w:color="000000"/>
        </w:rPr>
      </w:pPr>
    </w:p>
    <w:p>
      <w:pPr>
        <w:rPr>
          <w:rFonts w:asciiTheme="minorEastAsia" w:hAnsiTheme="minorEastAsia" w:eastAsiaTheme="minorEastAsia"/>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pPr>
    <w:r>
      <w:fldChar w:fldCharType="begin"/>
    </w:r>
    <w:r>
      <w:rPr>
        <w:rStyle w:val="5"/>
      </w:rPr>
      <w:instrText xml:space="preserve"> PAGE  </w:instrText>
    </w:r>
    <w:r>
      <w:fldChar w:fldCharType="separate"/>
    </w:r>
    <w:r>
      <w:rPr>
        <w:rStyle w:val="5"/>
      </w:rPr>
      <w:t>5</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2D"/>
    <w:rsid w:val="002F4A2D"/>
    <w:rsid w:val="00303E9D"/>
    <w:rsid w:val="00960B9F"/>
    <w:rsid w:val="00C54F9F"/>
    <w:rsid w:val="38D57F90"/>
    <w:rsid w:val="3F037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7"/>
    <w:uiPriority w:val="0"/>
    <w:pPr>
      <w:tabs>
        <w:tab w:val="center" w:pos="4153"/>
        <w:tab w:val="right" w:pos="8306"/>
      </w:tabs>
      <w:snapToGrid w:val="0"/>
      <w:jc w:val="left"/>
    </w:pPr>
    <w:rPr>
      <w:sz w:val="18"/>
    </w:rPr>
  </w:style>
  <w:style w:type="character" w:styleId="5">
    <w:name w:val="page number"/>
    <w:basedOn w:val="4"/>
    <w:uiPriority w:val="0"/>
  </w:style>
  <w:style w:type="character" w:customStyle="1" w:styleId="7">
    <w:name w:val="页脚 Char"/>
    <w:basedOn w:val="4"/>
    <w:link w:val="3"/>
    <w:uiPriority w:val="0"/>
    <w:rPr>
      <w:rFonts w:ascii="Times New Roman" w:hAnsi="Times New Roman" w:eastAsia="宋体" w:cs="Times New Roman"/>
      <w:sz w:val="18"/>
      <w:szCs w:val="20"/>
    </w:rPr>
  </w:style>
  <w:style w:type="paragraph" w:customStyle="1" w:styleId="8">
    <w:name w:val="List Paragraph"/>
    <w:basedOn w:val="1"/>
    <w:uiPriority w:val="0"/>
    <w:pPr>
      <w:ind w:firstLine="420" w:firstLineChars="200"/>
    </w:pPr>
  </w:style>
  <w:style w:type="paragraph" w:customStyle="1" w:styleId="9">
    <w:name w:val="报告正文"/>
    <w:uiPriority w:val="0"/>
    <w:pPr>
      <w:adjustRightInd w:val="0"/>
      <w:snapToGrid w:val="0"/>
      <w:spacing w:line="360" w:lineRule="auto"/>
      <w:ind w:firstLine="200" w:firstLineChars="200"/>
    </w:pPr>
    <w:rPr>
      <w:rFonts w:ascii="Times New Roman" w:hAnsi="宋体" w:eastAsia="仿宋" w:cs="宋体"/>
      <w:bCs/>
      <w:snapToGrid w:val="0"/>
      <w:kern w:val="0"/>
      <w:sz w:val="30"/>
      <w:szCs w:val="24"/>
      <w:lang w:val="en-US" w:eastAsia="zh-CN" w:bidi="ar-SA"/>
    </w:rPr>
  </w:style>
  <w:style w:type="character" w:customStyle="1" w:styleId="10">
    <w:name w:val="批注框文本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572</Words>
  <Characters>3261</Characters>
  <Lines>27</Lines>
  <Paragraphs>7</Paragraphs>
  <TotalTime>0</TotalTime>
  <ScaleCrop>false</ScaleCrop>
  <LinksUpToDate>false</LinksUpToDate>
  <CharactersWithSpaces>3826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2017-04-19T09:07:00Z</dcterms:created>
  <dc:creator>Lenovo User</dc:creator>
  <cp:lastModifiedBy>moc</cp:lastModifiedBy>
  <dcterms:modified xsi:type="dcterms:W3CDTF">2017-04-19T09:17:06Z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